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72AA4">
      <w:pPr>
        <w:pStyle w:val="21"/>
        <w:jc w:val="center"/>
        <w:rPr>
          <w:rFonts w:asciiTheme="minorHAnsi" w:hAnsiTheme="minorHAnsi" w:cstheme="minorHAnsi"/>
          <w:b/>
          <w:bCs/>
          <w:sz w:val="22"/>
          <w:szCs w:val="22"/>
        </w:rPr>
      </w:pPr>
      <w:r>
        <w:rPr>
          <w:rFonts w:asciiTheme="minorHAnsi" w:hAnsiTheme="minorHAnsi" w:cstheme="minorHAnsi"/>
          <w:b/>
          <w:bCs/>
          <w:sz w:val="22"/>
          <w:szCs w:val="22"/>
        </w:rPr>
        <w:t>ZMLUVA O DIELO</w:t>
      </w:r>
    </w:p>
    <w:p w14:paraId="0B0F77E4">
      <w:pPr>
        <w:pStyle w:val="21"/>
        <w:tabs>
          <w:tab w:val="center" w:pos="4536"/>
          <w:tab w:val="right" w:pos="9072"/>
        </w:tabs>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uzatvorená v zmysle § 536 a nasl. zákona č. 513/1991 Zb. Obchodný zákonník v znení</w:t>
      </w:r>
      <w:r>
        <w:rPr>
          <w:rFonts w:asciiTheme="minorHAnsi" w:hAnsiTheme="minorHAnsi" w:cstheme="minorHAnsi"/>
          <w:sz w:val="22"/>
          <w:szCs w:val="22"/>
        </w:rPr>
        <w:tab/>
      </w:r>
    </w:p>
    <w:p w14:paraId="6B772FA1">
      <w:pPr>
        <w:pStyle w:val="23"/>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pPr>
        <w:pStyle w:val="21"/>
        <w:jc w:val="center"/>
        <w:rPr>
          <w:rFonts w:asciiTheme="minorHAnsi" w:hAnsiTheme="minorHAnsi" w:cstheme="minorHAnsi"/>
          <w:sz w:val="22"/>
          <w:szCs w:val="22"/>
        </w:rPr>
      </w:pPr>
    </w:p>
    <w:p w14:paraId="5565068C">
      <w:pPr>
        <w:pBdr>
          <w:top w:val="single" w:color="auto" w:sz="4" w:space="1"/>
          <w:left w:val="single" w:color="auto" w:sz="4" w:space="4"/>
          <w:bottom w:val="single" w:color="auto" w:sz="4" w:space="1"/>
          <w:right w:val="single" w:color="auto" w:sz="4" w:space="4"/>
        </w:pBdr>
        <w:spacing w:line="240" w:lineRule="auto"/>
        <w:rPr>
          <w:rFonts w:cstheme="minorHAnsi"/>
          <w:b/>
        </w:rPr>
      </w:pPr>
      <w:r>
        <w:rPr>
          <w:rFonts w:cstheme="minorHAnsi"/>
          <w:b/>
        </w:rPr>
        <w:t xml:space="preserve">ev. č. objednávateľa: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 xml:space="preserve">ev. č. zhotoviteľa: </w:t>
      </w:r>
    </w:p>
    <w:p w14:paraId="1B8CFE3D">
      <w:pPr>
        <w:pStyle w:val="21"/>
        <w:jc w:val="center"/>
        <w:rPr>
          <w:rFonts w:asciiTheme="minorHAnsi" w:hAnsiTheme="minorHAnsi" w:cstheme="minorHAnsi"/>
          <w:bCs/>
          <w:sz w:val="22"/>
          <w:szCs w:val="22"/>
        </w:rPr>
      </w:pPr>
      <w:r>
        <w:rPr>
          <w:rFonts w:asciiTheme="minorHAnsi" w:hAnsiTheme="minorHAnsi" w:cstheme="minorHAnsi"/>
          <w:sz w:val="22"/>
          <w:szCs w:val="22"/>
        </w:rPr>
        <w:t xml:space="preserve">(ďalej len ako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pPr>
        <w:pStyle w:val="21"/>
        <w:jc w:val="center"/>
        <w:rPr>
          <w:rFonts w:asciiTheme="minorHAnsi" w:hAnsiTheme="minorHAnsi" w:cstheme="minorHAnsi"/>
          <w:sz w:val="22"/>
          <w:szCs w:val="22"/>
        </w:rPr>
      </w:pPr>
    </w:p>
    <w:p w14:paraId="6B09C9F4">
      <w:pPr>
        <w:spacing w:line="240" w:lineRule="auto"/>
        <w:jc w:val="center"/>
        <w:rPr>
          <w:rFonts w:cstheme="minorHAnsi"/>
          <w:bCs/>
        </w:rPr>
      </w:pPr>
      <w:r>
        <w:rPr>
          <w:rFonts w:cstheme="minorHAnsi"/>
          <w:bCs/>
        </w:rPr>
        <w:t>medzi zmluvnými stranami:</w:t>
      </w:r>
    </w:p>
    <w:p w14:paraId="0F7808EE">
      <w:pPr>
        <w:spacing w:after="0" w:line="240" w:lineRule="auto"/>
        <w:rPr>
          <w:b/>
          <w:iCs/>
          <w:lang w:eastAsia="cs-CZ"/>
        </w:rPr>
      </w:pPr>
      <w:r>
        <w:rPr>
          <w:rFonts w:cstheme="minorHAnsi"/>
          <w:b/>
          <w:iCs/>
          <w:u w:val="single"/>
          <w:lang w:eastAsia="cs-CZ"/>
        </w:rPr>
        <w:t>Objednávateľ</w:t>
      </w:r>
      <w:r>
        <w:rPr>
          <w:rFonts w:cstheme="minorHAnsi"/>
          <w:b/>
          <w:iCs/>
          <w:lang w:eastAsia="cs-CZ"/>
        </w:rPr>
        <w:t>:</w:t>
      </w:r>
      <w:r>
        <w:rPr>
          <w:rFonts w:cstheme="minorHAnsi"/>
          <w:b/>
          <w:iCs/>
          <w:lang w:eastAsia="cs-CZ"/>
        </w:rPr>
        <w:tab/>
      </w:r>
    </w:p>
    <w:p w14:paraId="0AFB5ED1">
      <w:pPr>
        <w:spacing w:after="0" w:line="240" w:lineRule="auto"/>
        <w:rPr>
          <w:rFonts w:cstheme="minorHAnsi"/>
          <w:b/>
          <w:iCs/>
          <w:lang w:eastAsia="cs-CZ"/>
        </w:rPr>
      </w:pPr>
      <w:r>
        <w:rPr>
          <w:rFonts w:cstheme="minorHAnsi"/>
          <w:b/>
          <w:iCs/>
          <w:lang w:eastAsia="cs-CZ"/>
        </w:rPr>
        <w:t>Názov:</w:t>
      </w:r>
      <w:r>
        <w:rPr>
          <w:rFonts w:cstheme="minorHAnsi"/>
          <w:b/>
          <w:iCs/>
          <w:lang w:eastAsia="cs-CZ"/>
        </w:rPr>
        <w:tab/>
      </w:r>
      <w:r>
        <w:rPr>
          <w:rFonts w:cstheme="minorHAnsi"/>
          <w:b/>
          <w:iCs/>
          <w:lang w:eastAsia="cs-CZ"/>
        </w:rPr>
        <w:tab/>
      </w:r>
      <w:r>
        <w:rPr>
          <w:rFonts w:cstheme="minorHAnsi"/>
          <w:b/>
          <w:iCs/>
          <w:lang w:eastAsia="cs-CZ"/>
        </w:rPr>
        <w:tab/>
      </w:r>
      <w:r>
        <w:rPr>
          <w:rFonts w:cstheme="minorHAnsi"/>
          <w:b/>
          <w:iCs/>
          <w:lang w:eastAsia="cs-CZ"/>
        </w:rPr>
        <w:tab/>
      </w:r>
      <w:r>
        <w:rPr>
          <w:rFonts w:ascii="Calibri" w:hAnsi="Calibri" w:cs="Calibri"/>
          <w:b/>
        </w:rPr>
        <w:t>Stredná odborná škola obchodu a služieb</w:t>
      </w:r>
      <w:r>
        <w:rPr>
          <w:rFonts w:cstheme="minorHAnsi"/>
          <w:b/>
          <w:iCs/>
          <w:lang w:eastAsia="cs-CZ"/>
        </w:rPr>
        <w:tab/>
      </w:r>
      <w:r>
        <w:rPr>
          <w:rFonts w:cstheme="minorHAnsi"/>
          <w:b/>
          <w:iCs/>
          <w:lang w:eastAsia="cs-CZ"/>
        </w:rPr>
        <w:tab/>
      </w:r>
    </w:p>
    <w:p w14:paraId="68712EEC">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Pr>
          <w:rFonts w:cstheme="minorHAnsi"/>
        </w:rPr>
        <w:tab/>
      </w:r>
      <w:r>
        <w:rPr>
          <w:rFonts w:ascii="Calibri" w:hAnsi="Calibri" w:cs="Calibri"/>
          <w:bCs/>
        </w:rPr>
        <w:t>Športová 1, 979 01 Rimavská Sobota</w:t>
      </w:r>
    </w:p>
    <w:p w14:paraId="5921FA03">
      <w:pPr>
        <w:spacing w:after="0" w:line="240" w:lineRule="auto"/>
        <w:ind w:left="2835" w:hanging="2835"/>
        <w:rPr>
          <w:rFonts w:cstheme="minorHAnsi"/>
        </w:rPr>
      </w:pPr>
      <w:r>
        <w:rPr>
          <w:rFonts w:cstheme="minorHAnsi"/>
        </w:rPr>
        <w:t>Právna forma:</w:t>
      </w:r>
      <w:r>
        <w:rPr>
          <w:rFonts w:cstheme="minorHAnsi"/>
        </w:rPr>
        <w:tab/>
      </w:r>
      <w:r>
        <w:rPr>
          <w:rFonts w:ascii="Calibri" w:hAnsi="Calibri" w:cs="Calibri"/>
          <w:bCs/>
        </w:rPr>
        <w:t>príspevková organizácia</w:t>
      </w:r>
    </w:p>
    <w:p w14:paraId="07811C9C">
      <w:pPr>
        <w:spacing w:after="0" w:line="240" w:lineRule="auto"/>
        <w:ind w:hanging="284"/>
        <w:rPr>
          <w:rFonts w:cstheme="minorHAnsi"/>
        </w:rPr>
      </w:pPr>
      <w:r>
        <w:rPr>
          <w:rFonts w:cstheme="minorHAnsi"/>
        </w:rPr>
        <w:tab/>
      </w:r>
      <w:r>
        <w:rPr>
          <w:rFonts w:cstheme="minorHAnsi"/>
        </w:rPr>
        <w:t>Štatutárny orgán:</w:t>
      </w:r>
      <w:r>
        <w:rPr>
          <w:rFonts w:cstheme="minorHAnsi"/>
        </w:rPr>
        <w:tab/>
      </w:r>
      <w:r>
        <w:rPr>
          <w:rFonts w:cstheme="minorHAnsi"/>
        </w:rPr>
        <w:tab/>
      </w:r>
      <w:r>
        <w:rPr>
          <w:rFonts w:ascii="Calibri" w:hAnsi="Calibri" w:cs="Calibri"/>
          <w:bCs/>
        </w:rPr>
        <w:t>PaedDr. Jaroslav Bagačka, riaditeľ školy</w:t>
      </w:r>
    </w:p>
    <w:p w14:paraId="7F33462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r>
        <w:rPr>
          <w:rFonts w:ascii="Calibri" w:hAnsi="Calibri" w:cs="Calibri"/>
          <w:bCs/>
        </w:rPr>
        <w:t>42195438</w:t>
      </w:r>
    </w:p>
    <w:p w14:paraId="6D16B921">
      <w:pPr>
        <w:spacing w:after="0" w:line="240" w:lineRule="auto"/>
        <w:ind w:hanging="284"/>
        <w:rPr>
          <w:rFonts w:cstheme="minorHAnsi"/>
        </w:rPr>
      </w:pPr>
      <w:r>
        <w:rPr>
          <w:rFonts w:cstheme="minorHAnsi"/>
        </w:rPr>
        <w:tab/>
      </w:r>
      <w:r>
        <w:rPr>
          <w:rFonts w:cstheme="minorHAnsi"/>
        </w:rPr>
        <w:t>DIČ:</w:t>
      </w:r>
      <w:r>
        <w:rPr>
          <w:rFonts w:cstheme="minorHAnsi"/>
        </w:rPr>
        <w:tab/>
      </w:r>
      <w:r>
        <w:rPr>
          <w:rFonts w:cstheme="minorHAnsi"/>
        </w:rPr>
        <w:tab/>
      </w:r>
      <w:r>
        <w:rPr>
          <w:rFonts w:cstheme="minorHAnsi"/>
        </w:rPr>
        <w:tab/>
      </w:r>
      <w:r>
        <w:rPr>
          <w:rFonts w:cstheme="minorHAnsi"/>
        </w:rPr>
        <w:tab/>
      </w:r>
      <w:r>
        <w:rPr>
          <w:rFonts w:ascii="Calibri" w:hAnsi="Calibri" w:cs="Calibri"/>
          <w:bCs/>
        </w:rPr>
        <w:t>2023315635</w:t>
      </w:r>
    </w:p>
    <w:p w14:paraId="1BC9101D">
      <w:pPr>
        <w:spacing w:after="0" w:line="240" w:lineRule="auto"/>
        <w:ind w:hanging="284"/>
        <w:rPr>
          <w:rFonts w:cstheme="minorHAnsi"/>
        </w:rPr>
      </w:pPr>
      <w:r>
        <w:rPr>
          <w:rFonts w:cstheme="minorHAnsi"/>
        </w:rPr>
        <w:tab/>
      </w:r>
      <w:r>
        <w:rPr>
          <w:rFonts w:cstheme="minorHAnsi"/>
        </w:rPr>
        <w:t>Bankové spojenie:</w:t>
      </w:r>
      <w:r>
        <w:rPr>
          <w:rFonts w:cstheme="minorHAnsi"/>
        </w:rPr>
        <w:tab/>
      </w:r>
      <w:r>
        <w:rPr>
          <w:rFonts w:cstheme="minorHAnsi"/>
        </w:rPr>
        <w:tab/>
      </w:r>
      <w:r>
        <w:rPr>
          <w:rFonts w:ascii="Calibri" w:hAnsi="Calibri" w:cs="Calibri"/>
          <w:bCs/>
        </w:rPr>
        <w:t>Štátna pokladnica</w:t>
      </w:r>
    </w:p>
    <w:p w14:paraId="0B7BFC62">
      <w:pPr>
        <w:spacing w:after="0" w:line="240" w:lineRule="auto"/>
        <w:ind w:hanging="284"/>
        <w:rPr>
          <w:rFonts w:cstheme="minorHAnsi"/>
        </w:rPr>
      </w:pPr>
      <w:r>
        <w:rPr>
          <w:rFonts w:cstheme="minorHAnsi"/>
        </w:rPr>
        <w:tab/>
      </w:r>
      <w:r>
        <w:rPr>
          <w:rFonts w:cstheme="minorHAnsi"/>
        </w:rPr>
        <w:t>Číslo účtu:</w:t>
      </w:r>
      <w:r>
        <w:rPr>
          <w:rFonts w:cstheme="minorHAnsi"/>
        </w:rPr>
        <w:tab/>
      </w:r>
      <w:r>
        <w:rPr>
          <w:rFonts w:cstheme="minorHAnsi"/>
        </w:rPr>
        <w:tab/>
      </w:r>
      <w:r>
        <w:rPr>
          <w:rFonts w:cstheme="minorHAnsi"/>
        </w:rPr>
        <w:tab/>
      </w:r>
      <w:r>
        <w:rPr>
          <w:rFonts w:ascii="Calibri" w:hAnsi="Calibri" w:cs="Calibri"/>
          <w:bCs/>
        </w:rPr>
        <w:t>SK28 8180 0000 0070 0065 5447</w:t>
      </w:r>
    </w:p>
    <w:p w14:paraId="2E8DF8E5">
      <w:pPr>
        <w:spacing w:after="0" w:line="240" w:lineRule="auto"/>
        <w:ind w:hanging="284"/>
        <w:rPr>
          <w:rFonts w:cstheme="minorHAnsi"/>
        </w:rPr>
      </w:pPr>
      <w:r>
        <w:rPr>
          <w:rFonts w:cstheme="minorHAnsi"/>
        </w:rPr>
        <w:tab/>
      </w:r>
      <w:r>
        <w:rPr>
          <w:rFonts w:cstheme="minorHAnsi"/>
        </w:rPr>
        <w:t>Osoby oprávnené rokovať</w:t>
      </w:r>
    </w:p>
    <w:p w14:paraId="17923300">
      <w:pPr>
        <w:spacing w:after="0" w:line="240" w:lineRule="auto"/>
        <w:ind w:left="2832" w:hanging="2832"/>
        <w:rPr>
          <w:rFonts w:cstheme="minorHAnsi"/>
        </w:rPr>
      </w:pPr>
      <w:r>
        <w:rPr>
          <w:rFonts w:cstheme="minorHAnsi"/>
        </w:rPr>
        <w:t>vo veciach Zmluvy:</w:t>
      </w:r>
      <w:r>
        <w:rPr>
          <w:rFonts w:cstheme="minorHAnsi"/>
        </w:rPr>
        <w:tab/>
      </w:r>
      <w:r>
        <w:rPr>
          <w:rFonts w:ascii="Calibri" w:hAnsi="Calibri" w:cs="Calibri"/>
          <w:bCs/>
        </w:rPr>
        <w:t>PaedDr. Jaroslav Bagačka, riaditeľ školy</w:t>
      </w:r>
    </w:p>
    <w:p w14:paraId="5EBB374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p>
    <w:p w14:paraId="4F43918D">
      <w:pPr>
        <w:spacing w:after="0" w:line="240" w:lineRule="auto"/>
        <w:ind w:left="2835" w:hanging="2835"/>
        <w:rPr>
          <w:rFonts w:cstheme="minorHAnsi"/>
        </w:rPr>
      </w:pPr>
      <w:r>
        <w:rPr>
          <w:rFonts w:cstheme="minorHAnsi"/>
        </w:rPr>
        <w:t xml:space="preserve">Osoby oprávnené rokovať </w:t>
      </w:r>
    </w:p>
    <w:p w14:paraId="6E33BF5D">
      <w:pPr>
        <w:spacing w:after="0" w:line="240" w:lineRule="auto"/>
        <w:ind w:left="2835" w:hanging="2835"/>
        <w:rPr>
          <w:rFonts w:cstheme="minorHAnsi"/>
        </w:rPr>
      </w:pPr>
      <w:r>
        <w:rPr>
          <w:rFonts w:cstheme="minorHAnsi"/>
        </w:rPr>
        <w:t>v technických</w:t>
      </w:r>
    </w:p>
    <w:p w14:paraId="52413743">
      <w:pPr>
        <w:spacing w:after="0" w:line="240" w:lineRule="auto"/>
        <w:ind w:left="2835" w:hanging="2835"/>
        <w:rPr>
          <w:rFonts w:cstheme="minorHAnsi"/>
        </w:rPr>
      </w:pPr>
      <w:r>
        <w:rPr>
          <w:rFonts w:cstheme="minorHAnsi"/>
        </w:rPr>
        <w:t>(realizačných) veciach:</w:t>
      </w:r>
      <w:r>
        <w:rPr>
          <w:rFonts w:cstheme="minorHAnsi"/>
        </w:rPr>
        <w:tab/>
      </w:r>
      <w:r>
        <w:rPr>
          <w:rFonts w:cstheme="minorHAnsi"/>
        </w:rPr>
        <w:t xml:space="preserve">Ing. </w:t>
      </w:r>
      <w:r>
        <w:rPr>
          <w:rFonts w:ascii="Calibri" w:hAnsi="Calibri" w:cs="Calibri"/>
          <w:bCs/>
        </w:rPr>
        <w:t>Katarína Bálintová, zástupkyňa riaditeľa</w:t>
      </w:r>
    </w:p>
    <w:p w14:paraId="2AF1F582">
      <w:pPr>
        <w:spacing w:after="0" w:line="240" w:lineRule="auto"/>
        <w:ind w:left="2835" w:hanging="2835"/>
        <w:rPr>
          <w:rFonts w:cstheme="minorHAnsi"/>
        </w:rPr>
      </w:pPr>
      <w:r>
        <w:rPr>
          <w:rFonts w:cstheme="minorHAnsi"/>
        </w:rPr>
        <w:t>Telefón/ fax:</w:t>
      </w:r>
      <w:r>
        <w:rPr>
          <w:rFonts w:cstheme="minorHAnsi"/>
        </w:rPr>
        <w:tab/>
      </w:r>
      <w:r>
        <w:rPr>
          <w:rFonts w:ascii="Calibri" w:hAnsi="Calibri" w:cs="Calibri"/>
          <w:bCs/>
        </w:rPr>
        <w:t>047/581 20 11</w:t>
      </w:r>
    </w:p>
    <w:p w14:paraId="1F6452D9">
      <w:pPr>
        <w:spacing w:after="0" w:line="240" w:lineRule="auto"/>
        <w:ind w:hanging="284"/>
        <w:rPr>
          <w:rFonts w:cstheme="minorHAnsi"/>
        </w:rPr>
      </w:pPr>
      <w:r>
        <w:rPr>
          <w:rFonts w:cstheme="minorHAnsi"/>
        </w:rPr>
        <w:tab/>
      </w:r>
      <w:r>
        <w:rPr>
          <w:rFonts w:cstheme="minorHAnsi"/>
        </w:rPr>
        <w:t>E mail:</w:t>
      </w:r>
      <w:r>
        <w:rPr>
          <w:rFonts w:cstheme="minorHAnsi"/>
        </w:rPr>
        <w:tab/>
      </w:r>
      <w:r>
        <w:rPr>
          <w:rFonts w:cstheme="minorHAnsi"/>
        </w:rPr>
        <w:tab/>
      </w:r>
      <w:r>
        <w:rPr>
          <w:rFonts w:cstheme="minorHAnsi"/>
        </w:rPr>
        <w:tab/>
      </w:r>
      <w:r>
        <w:rPr>
          <w:rFonts w:cstheme="minorHAnsi"/>
        </w:rPr>
        <w:tab/>
      </w:r>
      <w:bookmarkStart w:id="0" w:name="_Hlk172297314"/>
      <w:r>
        <w:rPr>
          <w:rFonts w:ascii="Calibri" w:hAnsi="Calibri" w:cs="Calibri"/>
          <w:bCs/>
        </w:rPr>
        <w:t>info@sosos.sk</w:t>
      </w:r>
      <w:bookmarkEnd w:id="0"/>
    </w:p>
    <w:p w14:paraId="66CB0168">
      <w:pPr>
        <w:spacing w:after="0" w:line="240" w:lineRule="auto"/>
        <w:jc w:val="both"/>
        <w:rPr>
          <w:rFonts w:cstheme="minorHAnsi"/>
        </w:rPr>
      </w:pPr>
    </w:p>
    <w:p w14:paraId="1501E3ED">
      <w:pPr>
        <w:spacing w:after="0" w:line="240" w:lineRule="auto"/>
        <w:jc w:val="both"/>
        <w:rPr>
          <w:rFonts w:cstheme="minorHAnsi"/>
        </w:rPr>
      </w:pPr>
      <w:r>
        <w:rPr>
          <w:rFonts w:cstheme="minorHAnsi"/>
        </w:rPr>
        <w:t xml:space="preserve">(ďalej len ako </w:t>
      </w:r>
      <w:r>
        <w:rPr>
          <w:rFonts w:cstheme="minorHAnsi"/>
          <w:b/>
          <w:bCs/>
        </w:rPr>
        <w:t>„objednávateľ“</w:t>
      </w:r>
      <w:r>
        <w:rPr>
          <w:rFonts w:cstheme="minorHAnsi"/>
        </w:rPr>
        <w:t>)</w:t>
      </w:r>
    </w:p>
    <w:p w14:paraId="1217D991">
      <w:pPr>
        <w:spacing w:after="0" w:line="240" w:lineRule="auto"/>
        <w:jc w:val="both"/>
        <w:rPr>
          <w:rFonts w:cstheme="minorHAnsi"/>
          <w:bCs/>
        </w:rPr>
      </w:pPr>
    </w:p>
    <w:p w14:paraId="380241E1">
      <w:pPr>
        <w:spacing w:after="0" w:line="240" w:lineRule="auto"/>
        <w:jc w:val="both"/>
        <w:rPr>
          <w:rFonts w:cstheme="minorHAnsi"/>
          <w:bCs/>
        </w:rPr>
      </w:pPr>
      <w:r>
        <w:rPr>
          <w:rFonts w:cstheme="minorHAnsi"/>
          <w:bCs/>
        </w:rPr>
        <w:t>a</w:t>
      </w:r>
    </w:p>
    <w:p w14:paraId="49A6230A">
      <w:pPr>
        <w:spacing w:after="0" w:line="240" w:lineRule="auto"/>
        <w:jc w:val="both"/>
        <w:rPr>
          <w:rFonts w:cstheme="minorHAnsi"/>
          <w:bCs/>
        </w:rPr>
      </w:pPr>
    </w:p>
    <w:p w14:paraId="059B095C">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Pr>
          <w:rFonts w:ascii="Calibri" w:hAnsi="Calibri" w:cs="Calibri"/>
          <w:b/>
          <w:highlight w:val="yellow"/>
        </w:rPr>
        <w:t>[..........................................]</w:t>
      </w:r>
      <w:r>
        <w:rPr>
          <w:rFonts w:cstheme="minorHAnsi"/>
          <w:b/>
          <w:iCs/>
          <w:lang w:eastAsia="cs-CZ"/>
        </w:rPr>
        <w:tab/>
      </w:r>
      <w:r>
        <w:rPr>
          <w:rFonts w:cstheme="minorHAnsi"/>
          <w:b/>
          <w:iCs/>
          <w:lang w:eastAsia="cs-CZ"/>
        </w:rPr>
        <w:t xml:space="preserve"> </w:t>
      </w:r>
      <w:r>
        <w:rPr>
          <w:rFonts w:cstheme="minorHAnsi"/>
          <w:bCs/>
        </w:rPr>
        <w:tab/>
      </w:r>
    </w:p>
    <w:p w14:paraId="72E38543">
      <w:pPr>
        <w:tabs>
          <w:tab w:val="left" w:pos="2694"/>
        </w:tabs>
        <w:spacing w:after="0" w:line="240" w:lineRule="auto"/>
        <w:rPr>
          <w:rFonts w:cstheme="minorHAnsi"/>
        </w:rPr>
      </w:pPr>
      <w:r>
        <w:rPr>
          <w:rFonts w:cstheme="minorHAnsi"/>
        </w:rPr>
        <w:t>Sídlo:</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pPr>
        <w:tabs>
          <w:tab w:val="left" w:pos="2694"/>
        </w:tabs>
        <w:spacing w:after="0" w:line="240" w:lineRule="auto"/>
        <w:ind w:hanging="284"/>
        <w:rPr>
          <w:rFonts w:cstheme="minorHAnsi"/>
        </w:rPr>
      </w:pPr>
      <w:r>
        <w:rPr>
          <w:rFonts w:cstheme="minorHAnsi"/>
        </w:rPr>
        <w:tab/>
      </w:r>
      <w:r>
        <w:rPr>
          <w:rFonts w:cstheme="minorHAnsi"/>
        </w:rPr>
        <w:t>Zapísaný:</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p>
    <w:p w14:paraId="457D8481">
      <w:pPr>
        <w:spacing w:after="0" w:line="240" w:lineRule="auto"/>
        <w:rPr>
          <w:rFonts w:cstheme="minorHAnsi"/>
        </w:rPr>
      </w:pPr>
      <w:r>
        <w:rPr>
          <w:rFonts w:cstheme="minorHAnsi"/>
        </w:rPr>
        <w:t xml:space="preserve">Štatutárny orgán: </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r>
        <w:rPr>
          <w:rFonts w:cstheme="minorHAnsi"/>
        </w:rPr>
        <w:t xml:space="preserve"> </w:t>
      </w:r>
    </w:p>
    <w:p w14:paraId="7B511CC8">
      <w:pPr>
        <w:spacing w:after="0" w:line="240" w:lineRule="auto"/>
        <w:ind w:hanging="284"/>
        <w:rPr>
          <w:rFonts w:cstheme="minorHAnsi"/>
        </w:rPr>
      </w:pPr>
      <w:r>
        <w:rPr>
          <w:rFonts w:cstheme="minorHAnsi"/>
        </w:rPr>
        <w:tab/>
      </w:r>
      <w:r>
        <w:rPr>
          <w:rFonts w:cstheme="minorHAnsi"/>
        </w:rPr>
        <w:t>IČO:</w:t>
      </w:r>
      <w:r>
        <w:rPr>
          <w:rFonts w:cstheme="minorHAnsi"/>
        </w:rPr>
        <w:tab/>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71CA0F47">
      <w:pPr>
        <w:spacing w:after="0" w:line="240" w:lineRule="auto"/>
        <w:ind w:hanging="284"/>
        <w:rPr>
          <w:rFonts w:cstheme="minorHAnsi"/>
        </w:rPr>
      </w:pPr>
      <w:r>
        <w:rPr>
          <w:rFonts w:cstheme="minorHAnsi"/>
        </w:rPr>
        <w:tab/>
      </w:r>
      <w:r>
        <w:rPr>
          <w:rFonts w:cstheme="minorHAnsi"/>
        </w:rPr>
        <w:t>DIČ:</w:t>
      </w:r>
      <w:r>
        <w:rPr>
          <w:rFonts w:cstheme="minorHAnsi"/>
        </w:rPr>
        <w:tab/>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6FB902E9">
      <w:pPr>
        <w:spacing w:after="0" w:line="240" w:lineRule="auto"/>
        <w:ind w:hanging="284"/>
        <w:rPr>
          <w:rFonts w:cstheme="minorHAnsi"/>
        </w:rPr>
      </w:pPr>
      <w:r>
        <w:rPr>
          <w:rFonts w:cstheme="minorHAnsi"/>
        </w:rPr>
        <w:tab/>
      </w:r>
      <w:r>
        <w:rPr>
          <w:rFonts w:cstheme="minorHAnsi"/>
        </w:rPr>
        <w:t>IČ DPH :</w:t>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27B1A90B">
      <w:pPr>
        <w:spacing w:after="0" w:line="240" w:lineRule="auto"/>
        <w:ind w:hanging="284"/>
        <w:rPr>
          <w:rFonts w:cstheme="minorHAnsi"/>
        </w:rPr>
      </w:pPr>
      <w:r>
        <w:rPr>
          <w:rFonts w:cstheme="minorHAnsi"/>
        </w:rPr>
        <w:tab/>
      </w:r>
      <w:r>
        <w:rPr>
          <w:rFonts w:cstheme="minorHAnsi"/>
        </w:rPr>
        <w:t>Bankové spojenie:</w:t>
      </w:r>
      <w:r>
        <w:rPr>
          <w:rFonts w:cstheme="minorHAnsi"/>
        </w:rPr>
        <w:tab/>
      </w:r>
      <w:r>
        <w:rPr>
          <w:rFonts w:cstheme="minorHAnsi"/>
        </w:rPr>
        <w:tab/>
      </w:r>
      <w:r>
        <w:rPr>
          <w:rFonts w:ascii="Calibri" w:hAnsi="Calibri" w:cs="Calibri"/>
          <w:bCs/>
          <w:highlight w:val="yellow"/>
        </w:rPr>
        <w:t>[.............................................]</w:t>
      </w:r>
      <w:r>
        <w:rPr>
          <w:rFonts w:cstheme="minorHAnsi"/>
        </w:rPr>
        <w:tab/>
      </w:r>
    </w:p>
    <w:p w14:paraId="65AEE356">
      <w:pPr>
        <w:spacing w:after="0" w:line="240" w:lineRule="auto"/>
        <w:ind w:hanging="284"/>
        <w:rPr>
          <w:rFonts w:cstheme="minorHAnsi"/>
        </w:rPr>
      </w:pPr>
      <w:r>
        <w:rPr>
          <w:rFonts w:cstheme="minorHAnsi"/>
        </w:rPr>
        <w:tab/>
      </w:r>
      <w:r>
        <w:rPr>
          <w:rFonts w:cstheme="minorHAnsi"/>
        </w:rPr>
        <w:t>Číslo účtu:</w:t>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p>
    <w:p w14:paraId="01543A01">
      <w:pPr>
        <w:spacing w:after="0" w:line="240" w:lineRule="auto"/>
      </w:pPr>
      <w:r>
        <w:t>Osoby oprávnené rokovať vo veciach</w:t>
      </w:r>
    </w:p>
    <w:p w14:paraId="1741F116">
      <w:pPr>
        <w:pStyle w:val="20"/>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Pr>
          <w:rFonts w:ascii="Calibri" w:hAnsi="Calibri" w:cs="Calibri"/>
          <w:bCs/>
          <w:highlight w:val="yellow"/>
        </w:rPr>
        <w:t>[.............................................]</w:t>
      </w:r>
      <w:r>
        <w:rPr>
          <w:rFonts w:cstheme="minorHAnsi"/>
        </w:rPr>
        <w:tab/>
      </w:r>
    </w:p>
    <w:p w14:paraId="57CA9FB9">
      <w:pPr>
        <w:pStyle w:val="20"/>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Pr>
          <w:rFonts w:ascii="Calibri" w:hAnsi="Calibri" w:cs="Calibri"/>
          <w:bCs/>
          <w:highlight w:val="yellow"/>
        </w:rPr>
        <w:t>[.............................................]</w:t>
      </w:r>
      <w:r>
        <w:rPr>
          <w:rFonts w:cstheme="minorHAnsi"/>
        </w:rPr>
        <w:tab/>
      </w:r>
    </w:p>
    <w:p w14:paraId="11BBFD58">
      <w:pPr>
        <w:spacing w:line="240" w:lineRule="auto"/>
        <w:ind w:right="-567"/>
        <w:jc w:val="both"/>
        <w:rPr>
          <w:rFonts w:cstheme="minorHAnsi"/>
          <w:b/>
        </w:rPr>
      </w:pPr>
      <w:r>
        <w:rPr>
          <w:rFonts w:cstheme="minorHAnsi"/>
        </w:rPr>
        <w:t xml:space="preserve">(ďalej len ako </w:t>
      </w:r>
      <w:r>
        <w:rPr>
          <w:rFonts w:cstheme="minorHAnsi"/>
          <w:b/>
        </w:rPr>
        <w:t>„zhotoviteľ“</w:t>
      </w:r>
      <w:r>
        <w:rPr>
          <w:rFonts w:cstheme="minorHAnsi"/>
        </w:rPr>
        <w:t xml:space="preserve"> a spolu s objednávateľom ďalej len ako</w:t>
      </w:r>
      <w:r>
        <w:rPr>
          <w:rFonts w:cstheme="minorHAnsi"/>
          <w:i/>
          <w:lang w:eastAsia="cs-CZ"/>
        </w:rPr>
        <w:t xml:space="preserve"> </w:t>
      </w:r>
      <w:r>
        <w:rPr>
          <w:rFonts w:cstheme="minorHAnsi"/>
          <w:b/>
        </w:rPr>
        <w:t>„Zmluvné strany</w:t>
      </w:r>
      <w:r>
        <w:rPr>
          <w:rFonts w:cstheme="minorHAnsi"/>
          <w:b/>
          <w:bCs/>
        </w:rPr>
        <w:t>“</w:t>
      </w:r>
      <w:r>
        <w:rPr>
          <w:rFonts w:cstheme="minorHAnsi"/>
        </w:rPr>
        <w:t>)</w:t>
      </w:r>
    </w:p>
    <w:p w14:paraId="1B3DAD79">
      <w:pPr>
        <w:shd w:val="clear" w:color="auto" w:fill="FFFFFF" w:themeFill="background1"/>
        <w:spacing w:line="240" w:lineRule="auto"/>
        <w:jc w:val="center"/>
        <w:rPr>
          <w:rFonts w:cstheme="minorHAnsi"/>
          <w:b/>
        </w:rPr>
      </w:pPr>
      <w:r>
        <w:rPr>
          <w:rFonts w:cstheme="minorHAnsi"/>
          <w:b/>
        </w:rPr>
        <w:t>Preambula</w:t>
      </w:r>
    </w:p>
    <w:p w14:paraId="2B6413D7">
      <w:pPr>
        <w:pStyle w:val="20"/>
        <w:numPr>
          <w:ilvl w:val="0"/>
          <w:numId w:val="1"/>
        </w:numPr>
        <w:tabs>
          <w:tab w:val="left" w:pos="426"/>
        </w:tabs>
        <w:ind w:left="284" w:hanging="284"/>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rPr>
        <w:t>Táto Zmluva sa uzatvára ako výsledok verejného obstarávania realizovaného postupom podľa zákona č. 343/2015 Z. z. o verejnom obstarávaní a o zmene a doplnení niektorých zákonov v znení neskorších predpisov (ďalej len ako „</w:t>
      </w:r>
      <w:r>
        <w:rPr>
          <w:rFonts w:asciiTheme="minorHAnsi" w:hAnsiTheme="minorHAnsi" w:cstheme="minorHAnsi"/>
          <w:b/>
          <w:bCs/>
        </w:rPr>
        <w:t>ZVO</w:t>
      </w:r>
      <w:r>
        <w:rPr>
          <w:rFonts w:asciiTheme="minorHAnsi" w:hAnsiTheme="minorHAnsi" w:cstheme="minorHAnsi"/>
        </w:rPr>
        <w:t>“) na predmet zákazky „Rýchle energetické opatrenia na zvýšenie energetickej efektívnosti Pracoviska odborného výcviku SOŠ obchodu a služieb, Rimavská Sobota – výzva č. 31“ (ďalej len ako „</w:t>
      </w:r>
      <w:r>
        <w:rPr>
          <w:rFonts w:asciiTheme="minorHAnsi" w:hAnsiTheme="minorHAnsi" w:cstheme="minorHAnsi"/>
          <w:b/>
          <w:bCs/>
        </w:rPr>
        <w:t>Verejné obstarávanie</w:t>
      </w:r>
      <w:r>
        <w:rPr>
          <w:rFonts w:asciiTheme="minorHAnsi" w:hAnsiTheme="minorHAnsi" w:cstheme="minorHAnsi"/>
        </w:rPr>
        <w:t xml:space="preserve">“). Dňa </w:t>
      </w:r>
      <w:r>
        <w:rPr>
          <w:rFonts w:asciiTheme="minorHAnsi" w:hAnsiTheme="minorHAnsi" w:cstheme="minorHAnsi"/>
          <w:highlight w:val="yellow"/>
        </w:rPr>
        <w:t>........................</w:t>
      </w:r>
      <w:r>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402B76F1">
      <w:pPr>
        <w:pStyle w:val="20"/>
        <w:numPr>
          <w:ilvl w:val="0"/>
          <w:numId w:val="1"/>
        </w:numPr>
        <w:tabs>
          <w:tab w:val="left" w:pos="426"/>
        </w:tabs>
        <w:ind w:left="284" w:hanging="284"/>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Nevyhnutným predpokladom k plneniu podľa tejto Zmluvy je schválenie Žiadosti o poskytnutie prostriedkov mechanizmu na podporu obnovy a odolnosti (ďalej len ako „</w:t>
      </w:r>
      <w:r>
        <w:rPr>
          <w:rFonts w:asciiTheme="minorHAnsi" w:hAnsiTheme="minorHAnsi" w:cstheme="minorHAnsi"/>
          <w:b/>
          <w:bCs/>
          <w:color w:val="000000" w:themeColor="text1"/>
          <w14:textFill>
            <w14:solidFill>
              <w14:schemeClr w14:val="tx1"/>
            </w14:solidFill>
          </w14:textFill>
        </w:rPr>
        <w:t>žiadosť o PPM</w:t>
      </w:r>
      <w:r>
        <w:rPr>
          <w:rFonts w:asciiTheme="minorHAnsi" w:hAnsiTheme="minorHAnsi" w:cstheme="minorHAnsi"/>
          <w:color w:val="000000" w:themeColor="text1"/>
          <w14:textFill>
            <w14:solidFill>
              <w14:schemeClr w14:val="tx1"/>
            </w14:solidFill>
          </w14:textFill>
        </w:rPr>
        <w:t>“) poskytovateľom pomoci (ďalej len ako „</w:t>
      </w:r>
      <w:r>
        <w:rPr>
          <w:rFonts w:asciiTheme="minorHAnsi" w:hAnsiTheme="minorHAnsi" w:cstheme="minorHAnsi"/>
          <w:b/>
          <w:bCs/>
          <w:color w:val="000000" w:themeColor="text1"/>
          <w14:textFill>
            <w14:solidFill>
              <w14:schemeClr w14:val="tx1"/>
            </w14:solidFill>
          </w14:textFill>
        </w:rPr>
        <w:t>prostriedky mechanizmu</w:t>
      </w:r>
      <w:r>
        <w:rPr>
          <w:rFonts w:asciiTheme="minorHAnsi" w:hAnsiTheme="minorHAnsi" w:cstheme="minorHAnsi"/>
          <w:color w:val="000000" w:themeColor="text1"/>
          <w14:textFill>
            <w14:solidFill>
              <w14:schemeClr w14:val="tx1"/>
            </w14:solidFill>
          </w14:textFill>
        </w:rPr>
        <w:t xml:space="preserve">“), ktorým je </w:t>
      </w:r>
      <w:r>
        <w:rPr>
          <w:rFonts w:asciiTheme="minorHAnsi" w:hAnsiTheme="minorHAnsi" w:cstheme="minorHAnsi"/>
          <w:b/>
          <w:bCs/>
          <w:color w:val="000000" w:themeColor="text1"/>
          <w14:textFill>
            <w14:solidFill>
              <w14:schemeClr w14:val="tx1"/>
            </w14:solidFill>
          </w14:textFill>
        </w:rPr>
        <w:t>Ministerstvo hospodárstva Slovenskej</w:t>
      </w:r>
      <w:r>
        <w:rPr>
          <w:rFonts w:asciiTheme="minorHAnsi" w:hAnsiTheme="minorHAnsi" w:cstheme="minorHAnsi"/>
          <w:color w:val="000000" w:themeColor="text1"/>
          <w14:textFill>
            <w14:solidFill>
              <w14:schemeClr w14:val="tx1"/>
            </w14:solidFill>
          </w14:textFill>
        </w:rPr>
        <w:t xml:space="preserve"> </w:t>
      </w:r>
      <w:r>
        <w:rPr>
          <w:rFonts w:asciiTheme="minorHAnsi" w:hAnsiTheme="minorHAnsi" w:cstheme="minorHAnsi"/>
          <w:b/>
          <w:bCs/>
          <w:color w:val="000000" w:themeColor="text1"/>
          <w14:textFill>
            <w14:solidFill>
              <w14:schemeClr w14:val="tx1"/>
            </w14:solidFill>
          </w14:textFill>
        </w:rPr>
        <w:t>republiky</w:t>
      </w:r>
      <w:r>
        <w:rPr>
          <w:rFonts w:asciiTheme="minorHAnsi" w:hAnsiTheme="minorHAnsi" w:cstheme="minorHAnsi"/>
          <w:color w:val="000000" w:themeColor="text1"/>
          <w14:textFill>
            <w14:solidFill>
              <w14:schemeClr w14:val="tx1"/>
            </w14:solidFill>
          </w14:textFill>
        </w:rPr>
        <w:t xml:space="preserve"> (ďalej len ako „</w:t>
      </w:r>
      <w:r>
        <w:rPr>
          <w:rFonts w:asciiTheme="minorHAnsi" w:hAnsiTheme="minorHAnsi" w:cstheme="minorHAnsi"/>
          <w:b/>
          <w:bCs/>
          <w:color w:val="000000" w:themeColor="text1"/>
          <w14:textFill>
            <w14:solidFill>
              <w14:schemeClr w14:val="tx1"/>
            </w14:solidFill>
          </w14:textFill>
        </w:rPr>
        <w:t>poskytovateľ PM</w:t>
      </w:r>
      <w:r>
        <w:rPr>
          <w:rFonts w:asciiTheme="minorHAnsi" w:hAnsiTheme="minorHAnsi" w:cstheme="minorHAnsi"/>
          <w:color w:val="000000" w:themeColor="text1"/>
          <w14:textFill>
            <w14:solidFill>
              <w14:schemeClr w14:val="tx1"/>
            </w14:solidFill>
          </w14:textFill>
        </w:rPr>
        <w:t xml:space="preserve">“), pričom sprostredkovateľom pomoci je </w:t>
      </w:r>
      <w:r>
        <w:rPr>
          <w:rFonts w:asciiTheme="minorHAnsi" w:hAnsiTheme="minorHAnsi" w:cstheme="minorHAnsi"/>
          <w:b/>
          <w:bCs/>
          <w:color w:val="000000" w:themeColor="text1"/>
          <w14:textFill>
            <w14:solidFill>
              <w14:schemeClr w14:val="tx1"/>
            </w14:solidFill>
          </w14:textFill>
        </w:rPr>
        <w:t>Slovenská inovačná a energetická agentúra</w:t>
      </w:r>
      <w:r>
        <w:rPr>
          <w:rFonts w:asciiTheme="minorHAnsi" w:hAnsiTheme="minorHAnsi" w:cstheme="minorHAnsi"/>
          <w:color w:val="000000" w:themeColor="text1"/>
          <w14:textFill>
            <w14:solidFill>
              <w14:schemeClr w14:val="tx1"/>
            </w14:solidFill>
          </w14:textFill>
        </w:rPr>
        <w:t>, a to na základe žiadosti objednávateľa o poskytnutie prostriedkov mechanizmu.</w:t>
      </w:r>
    </w:p>
    <w:p w14:paraId="5E7EDEE7">
      <w:pPr>
        <w:pStyle w:val="20"/>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berie na vedomie, že vykonanie diela definovaného v čl. III. tejto Zmluvy bude spolufinancované z prostriedkov Plánu obnovy a odolnosti SR </w:t>
      </w:r>
      <w:r>
        <w:rPr>
          <w:rFonts w:asciiTheme="minorHAnsi" w:hAnsiTheme="minorHAnsi" w:cstheme="minorHAnsi"/>
          <w:color w:val="000000"/>
        </w:rPr>
        <w:t xml:space="preserve">a to za podmienok čerpania uvedených v Zmluve o poskytnutí prostriedkov mechanizmu na podporu obnovy a odolnosti </w:t>
      </w:r>
      <w:r>
        <w:rPr>
          <w:rFonts w:asciiTheme="minorHAnsi" w:hAnsiTheme="minorHAnsi" w:cstheme="minorHAnsi"/>
          <w:lang w:eastAsia="cs-CZ"/>
        </w:rPr>
        <w:t>na projekt „</w:t>
      </w:r>
      <w:r>
        <w:rPr>
          <w:rFonts w:asciiTheme="minorHAnsi" w:hAnsiTheme="minorHAnsi" w:cstheme="minorHAnsi"/>
          <w:bCs/>
        </w:rPr>
        <w:t xml:space="preserve">Rýchle energetické opatrenia za účelom zvýšenia energetickej efektívnosti SOŠ obchodu a služieb Rimavská Sobota </w:t>
      </w:r>
      <w:r>
        <w:rPr>
          <w:rFonts w:asciiTheme="minorHAnsi" w:hAnsiTheme="minorHAnsi" w:cstheme="minorHAnsi"/>
          <w:lang w:eastAsia="cs-CZ"/>
        </w:rPr>
        <w:t>“, uzavretej medzi poskytovateľom PM a objednávateľom</w:t>
      </w:r>
      <w:r>
        <w:rPr>
          <w:rFonts w:asciiTheme="minorHAnsi" w:hAnsiTheme="minorHAnsi" w:cstheme="minorHAnsi"/>
          <w:color w:val="000000"/>
        </w:rPr>
        <w:t xml:space="preserve"> (ďalej len ako „</w:t>
      </w:r>
      <w:r>
        <w:rPr>
          <w:rFonts w:asciiTheme="minorHAnsi" w:hAnsiTheme="minorHAnsi" w:cstheme="minorHAnsi"/>
          <w:b/>
          <w:bCs/>
          <w:color w:val="000000"/>
        </w:rPr>
        <w:t>zmluva o PPM</w:t>
      </w:r>
      <w:r>
        <w:rPr>
          <w:rFonts w:asciiTheme="minorHAnsi" w:hAnsiTheme="minorHAnsi" w:cstheme="minorHAnsi"/>
          <w:color w:val="000000"/>
        </w:rPr>
        <w:t>“), uzatvorenej medzi objednávateľom a poskytovateľom PM v rámci</w:t>
      </w:r>
      <w:r>
        <w:rPr>
          <w:rFonts w:asciiTheme="minorHAnsi" w:hAnsiTheme="minorHAnsi" w:cstheme="minorHAnsi"/>
        </w:rPr>
        <w:t xml:space="preserve"> Plánu obnovy a odolnosti, ktorej predmetom bude financovanie projektu vymedzeného nasledovnými identifikačnými údajmi:</w:t>
      </w:r>
    </w:p>
    <w:p w14:paraId="443A3E93">
      <w:pPr>
        <w:pStyle w:val="18"/>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pPr>
        <w:pStyle w:val="18"/>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Komponent: 19. RePower EU</w:t>
      </w:r>
    </w:p>
    <w:p w14:paraId="79A5504D">
      <w:pPr>
        <w:pStyle w:val="18"/>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Reforma/investícia: Investícia 2 - Zlepšenie energetickej hospodárnosti a efektívnosti verejných budov ("Rýchle opatrenia")</w:t>
      </w:r>
    </w:p>
    <w:p w14:paraId="56069933">
      <w:pPr>
        <w:pStyle w:val="18"/>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Názov projektu: Rýchle energetické opatrenia za účelom zvýšenia energetickej efektívnosti SOŠ obchodu a služieb Rimavská Sobota </w:t>
      </w:r>
    </w:p>
    <w:p w14:paraId="0FDC325F">
      <w:pPr>
        <w:pStyle w:val="20"/>
        <w:tabs>
          <w:tab w:val="left" w:pos="426"/>
        </w:tabs>
        <w:ind w:left="0"/>
        <w:jc w:val="both"/>
        <w:rPr>
          <w:rFonts w:asciiTheme="minorHAnsi" w:hAnsiTheme="minorHAnsi" w:cstheme="minorHAnsi"/>
        </w:rPr>
      </w:pPr>
    </w:p>
    <w:p w14:paraId="566F035B">
      <w:pPr>
        <w:pStyle w:val="20"/>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a súhlasí, že cena za dielo bude hradená z prostriedkov poskytnutých objednávateľovi na základe zmluvy o PPM a faktúry budú zaplatené zhotoviteľovi až po pripísaní prostriedkov mechanizmu na účet objednávateľa v zmysle ustanovení zmluvy o PPM.</w:t>
      </w:r>
    </w:p>
    <w:p w14:paraId="7A950061">
      <w:pPr>
        <w:spacing w:after="0" w:line="240" w:lineRule="auto"/>
        <w:jc w:val="center"/>
        <w:rPr>
          <w:rFonts w:cstheme="minorHAnsi"/>
          <w:b/>
        </w:rPr>
      </w:pPr>
    </w:p>
    <w:p w14:paraId="770EBD7A">
      <w:pPr>
        <w:spacing w:after="0" w:line="240" w:lineRule="auto"/>
        <w:jc w:val="center"/>
        <w:rPr>
          <w:rFonts w:cstheme="minorHAnsi"/>
          <w:b/>
        </w:rPr>
      </w:pPr>
      <w:r>
        <w:rPr>
          <w:rFonts w:cstheme="minorHAnsi"/>
          <w:b/>
        </w:rPr>
        <w:t>Čl. I</w:t>
      </w:r>
    </w:p>
    <w:p w14:paraId="0B87DA73">
      <w:pPr>
        <w:spacing w:after="0" w:line="240" w:lineRule="auto"/>
        <w:jc w:val="center"/>
        <w:rPr>
          <w:rFonts w:cstheme="minorHAnsi"/>
          <w:b/>
        </w:rPr>
      </w:pPr>
      <w:r>
        <w:rPr>
          <w:rFonts w:cstheme="minorHAnsi"/>
          <w:b/>
        </w:rPr>
        <w:t>Úvodné ustanovenia</w:t>
      </w:r>
    </w:p>
    <w:p w14:paraId="0AFBF121">
      <w:pPr>
        <w:pStyle w:val="20"/>
        <w:numPr>
          <w:ilvl w:val="0"/>
          <w:numId w:val="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nehnuteľností, v ktorých, resp. na ktorých bude zhotoviteľ realizovať dielo špecifikované v zmysle čl. III Zmluvy. Výlučným vlastníkom nehnuteľností podľa predchádzajúcej vety je Banskobystrický samosprávny kraj so sídlom Námestie SNP 23, 974 01 Banská Bystrica, IČO: 37828100, ktorý je zriaďovateľom objednávateľa. </w:t>
      </w:r>
    </w:p>
    <w:p w14:paraId="4A0C5964">
      <w:pPr>
        <w:pStyle w:val="20"/>
        <w:numPr>
          <w:ilvl w:val="0"/>
          <w:numId w:val="3"/>
        </w:numPr>
        <w:spacing w:after="240"/>
        <w:ind w:left="284" w:hanging="284"/>
        <w:contextualSpacing/>
        <w:jc w:val="both"/>
        <w:rPr>
          <w:rFonts w:asciiTheme="minorHAnsi" w:hAnsiTheme="minorHAnsi" w:cstheme="minorHAnsi"/>
          <w:b/>
        </w:rPr>
      </w:pPr>
      <w:r>
        <w:rPr>
          <w:rFonts w:asciiTheme="minorHAnsi" w:hAnsiTheme="minorHAnsi" w:cstheme="minorHAnsi"/>
        </w:rPr>
        <w:t xml:space="preserve">Zhotoviteľ vyhlasuje, že je podnikateľom s právnou subjektivitou, ktorý disponuje všetkými oprávneniami požadovanými aplikovateľnými  právnymi predpismi účinnými na území Slovenskej republiky a vydanými príslušnými orgánmi verejnej moci potrebnými na splnenie podmienok podľa tejto Zmluvy a na riadne a včasné vykonanie diela. Zhotoviteľ vyhlasuje, že je schopný vykonať dielo riadne a včas, podľa podmienok a požiadaviek Zmluvy; toto vyhlásenie zhotoviteľa zohľadňuje aj odborné, personálne, technické, technologické, kapacitné a materiálne aspekty, ktoré bude vykonanie diela podľa tejto Zmluvy vyžadovať; ak majú byť niektoré z týchto aspektov vykonávané subdodávateľsky, zhotoviteľ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pPr>
        <w:pStyle w:val="20"/>
        <w:numPr>
          <w:ilvl w:val="0"/>
          <w:numId w:val="3"/>
        </w:numPr>
        <w:spacing w:after="240"/>
        <w:ind w:left="284" w:hanging="284"/>
        <w:contextualSpacing/>
        <w:jc w:val="both"/>
        <w:rPr>
          <w:rStyle w:val="41"/>
          <w:rFonts w:ascii="Calibri" w:hAnsi="Calibri" w:cs="Calibri"/>
        </w:rPr>
      </w:pPr>
      <w:r>
        <w:rPr>
          <w:rFonts w:asciiTheme="minorHAnsi" w:hAnsiTheme="minorHAnsi" w:cstheme="minorHAnsi"/>
        </w:rPr>
        <w:t xml:space="preserve">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r>
        <w:rPr>
          <w:rFonts w:ascii="Calibri" w:hAnsi="Calibri" w:cs="Calibri"/>
        </w:rPr>
        <w:t>Zhotoviteľ</w:t>
      </w:r>
      <w:r>
        <w:rPr>
          <w:rStyle w:val="41"/>
          <w:rFonts w:ascii="Calibri" w:hAnsi="Calibri" w:cs="Calibri"/>
        </w:rPr>
        <w:t xml:space="preserve"> osobitne vyhlasuje, že riadne skontroloval podklady, ktoré objednávateľ označil vo Verejnom obstarávaní pre účely vykonania diela</w:t>
      </w:r>
      <w:r>
        <w:rPr>
          <w:rFonts w:asciiTheme="minorHAnsi" w:hAnsiTheme="minorHAnsi" w:cstheme="minorHAnsi"/>
        </w:rPr>
        <w:t xml:space="preserve"> podľa tejto Zmluvy</w:t>
      </w:r>
      <w:r>
        <w:rPr>
          <w:rStyle w:val="41"/>
          <w:rFonts w:ascii="Calibri" w:hAnsi="Calibri" w:cs="Calibri"/>
        </w:rPr>
        <w:t xml:space="preserve"> a akýkoľvek rozpor, nejasnosť, chybu či prípadnú nekompletnosť alebo nedokonalosť v podkladoch vo Verejnom obstarávaní, ktorá má, alebo by mohla mať za následok vady alebo akúkoľvek odchýlku od zmluvne požadovaného štandardu či účelu plnenia podľa Zmluvy, alebo by mohla mať vplyv na výšku či obsah ceny za dielo, zhotoviteľ počas Verejného obstarávania uviedol a žiadal jej vysvetlenie. </w:t>
      </w:r>
      <w:r>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Pr>
          <w:rStyle w:val="41"/>
          <w:rFonts w:ascii="Calibri" w:hAnsi="Calibri" w:cs="Calibri"/>
        </w:rPr>
        <w:t xml:space="preserve">Zhotoviteľ vyhlasuje, že je uzrozumený s tým, že akékoľvek jeho prípadné nároky spojené s nekompletnosťou alebo nedokonalosťou podkladov na vykonanie diela vo Verejnom obstarávaní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takými podkladmi nemôžu vyvolať požiadavky alebo nároky zhotoviteľa súvisiace s akýmikoľvek variáciami, prácami naviac a/alebo zvýšením ceny za dielo, ibaže by to Zmluva výslovne pripúšťala. </w:t>
      </w:r>
    </w:p>
    <w:p w14:paraId="2BADF860">
      <w:pPr>
        <w:pStyle w:val="20"/>
        <w:numPr>
          <w:ilvl w:val="0"/>
          <w:numId w:val="3"/>
        </w:numPr>
        <w:spacing w:after="240"/>
        <w:ind w:left="284" w:hanging="284"/>
        <w:contextualSpacing/>
        <w:jc w:val="both"/>
        <w:rPr>
          <w:rFonts w:asciiTheme="minorHAnsi" w:hAnsiTheme="minorHAnsi" w:cstheme="minorHAnsi"/>
          <w:b/>
        </w:rPr>
      </w:pPr>
      <w:r>
        <w:rPr>
          <w:rFonts w:ascii="Calibri" w:hAnsi="Calibri" w:cs="Calibri"/>
        </w:rPr>
        <w:t xml:space="preserve">Zhotoviteľ vyhlasuje, že pred uzavretím Zmluvy dostatočne zvážil a s vynaložením odbornej starostlivosti a všetkého úsilia posúdil prichádzajúce riziká spojené s vykonávaním diela, pri cenotvorbe v cenovej ponuke predloženej vo Verejnom obstarávní vzal do úvahy rozsah materiálov, prác a služieb potrebných na riadne vykonanie diela (a to aj v prípade, ak nie sú v rozpočte /ocenenom výkaze výmer zhotoviteľa výslovne uvedené) a výšku 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vykonaním diela) a tieto zahrnul do ceny za dielo. </w:t>
      </w:r>
    </w:p>
    <w:p w14:paraId="2EA4FE94">
      <w:pPr>
        <w:pStyle w:val="20"/>
        <w:numPr>
          <w:ilvl w:val="0"/>
          <w:numId w:val="3"/>
        </w:numPr>
        <w:spacing w:after="240"/>
        <w:ind w:left="284" w:hanging="284"/>
        <w:contextualSpacing/>
        <w:jc w:val="both"/>
        <w:rPr>
          <w:rFonts w:asciiTheme="minorHAnsi" w:hAnsiTheme="minorHAnsi" w:cstheme="minorHAnsi"/>
          <w:bCs/>
        </w:rPr>
      </w:pPr>
      <w:r>
        <w:rPr>
          <w:rFonts w:asciiTheme="minorHAnsi" w:hAnsiTheme="minorHAnsi" w:cstheme="minorHAnsi"/>
          <w:bCs/>
        </w:rPr>
        <w:t>Vyhlásenia zhotoviteľa podľa tohto bodu sú podstatnou okolnosťou formujúcou vôľu objednávateľa uzatvoriť túto Zmluvu, bez ktorej by objednávateľ Zmluvu neuzavrel.</w:t>
      </w:r>
    </w:p>
    <w:p w14:paraId="4C3D36C9">
      <w:pPr>
        <w:pStyle w:val="20"/>
        <w:tabs>
          <w:tab w:val="left" w:pos="426"/>
        </w:tabs>
        <w:ind w:left="0"/>
        <w:contextualSpacing/>
        <w:jc w:val="both"/>
        <w:rPr>
          <w:rFonts w:asciiTheme="minorHAnsi" w:hAnsiTheme="minorHAnsi" w:cstheme="minorHAnsi"/>
        </w:rPr>
      </w:pPr>
    </w:p>
    <w:p w14:paraId="4B339450">
      <w:pPr>
        <w:spacing w:after="0" w:line="240" w:lineRule="auto"/>
        <w:jc w:val="center"/>
        <w:rPr>
          <w:rFonts w:cstheme="minorHAnsi"/>
          <w:b/>
        </w:rPr>
      </w:pPr>
      <w:r>
        <w:rPr>
          <w:rFonts w:cstheme="minorHAnsi"/>
          <w:b/>
        </w:rPr>
        <w:t>Čl. II</w:t>
      </w:r>
    </w:p>
    <w:p w14:paraId="14CDAF23">
      <w:pPr>
        <w:tabs>
          <w:tab w:val="left" w:pos="0"/>
        </w:tabs>
        <w:spacing w:after="0" w:line="240" w:lineRule="auto"/>
        <w:jc w:val="center"/>
        <w:rPr>
          <w:rStyle w:val="24"/>
          <w:rFonts w:asciiTheme="minorHAnsi" w:hAnsiTheme="minorHAnsi" w:cstheme="minorHAnsi"/>
          <w:bCs w:val="0"/>
        </w:rPr>
      </w:pPr>
      <w:r>
        <w:rPr>
          <w:rFonts w:cstheme="minorHAnsi"/>
          <w:b/>
        </w:rPr>
        <w:t>Predmet Zmluvy</w:t>
      </w:r>
    </w:p>
    <w:p w14:paraId="31C47EAC">
      <w:pPr>
        <w:pStyle w:val="20"/>
        <w:widowControl w:val="0"/>
        <w:numPr>
          <w:ilvl w:val="0"/>
          <w:numId w:val="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zhotoviteľa riadne a včas, s odbornou starostlivosťou a na svoje nebezpečenstvo vykonať a odovzdať objednávateľovi dielo špecifikované v čl. III Zmluvy a záväzok objednávateľa takto riadne a včas vykonané dielo od zhotoviteľa prevziať a zaplatiť za dielo cenu za dielo, za podmienok, vo výške a spôsobom stanoveným v Zmluve. </w:t>
      </w:r>
    </w:p>
    <w:p w14:paraId="056F629B">
      <w:pPr>
        <w:pStyle w:val="20"/>
        <w:suppressAutoHyphens/>
        <w:snapToGrid w:val="0"/>
        <w:ind w:left="720"/>
        <w:jc w:val="center"/>
        <w:rPr>
          <w:rFonts w:asciiTheme="minorHAnsi" w:hAnsiTheme="minorHAnsi" w:cstheme="minorHAnsi"/>
          <w:b/>
        </w:rPr>
      </w:pPr>
    </w:p>
    <w:p w14:paraId="5A1750DC">
      <w:pPr>
        <w:pStyle w:val="20"/>
        <w:suppressAutoHyphens/>
        <w:snapToGrid w:val="0"/>
        <w:ind w:left="0"/>
        <w:jc w:val="center"/>
        <w:rPr>
          <w:rFonts w:asciiTheme="minorHAnsi" w:hAnsiTheme="minorHAnsi" w:cstheme="minorHAnsi"/>
          <w:b/>
        </w:rPr>
      </w:pPr>
      <w:r>
        <w:rPr>
          <w:rFonts w:asciiTheme="minorHAnsi" w:hAnsiTheme="minorHAnsi" w:cstheme="minorHAnsi"/>
          <w:b/>
        </w:rPr>
        <w:t>Čl. III</w:t>
      </w:r>
    </w:p>
    <w:p w14:paraId="4B85DBEB">
      <w:pPr>
        <w:pStyle w:val="20"/>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49A0D871">
      <w:pPr>
        <w:pStyle w:val="18"/>
        <w:numPr>
          <w:ilvl w:val="0"/>
          <w:numId w:val="5"/>
        </w:numPr>
        <w:tabs>
          <w:tab w:val="left" w:pos="284"/>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2028F83F">
      <w:pPr>
        <w:pStyle w:val="18"/>
        <w:tabs>
          <w:tab w:val="left" w:pos="2070"/>
        </w:tabs>
        <w:ind w:left="2070" w:hanging="1786"/>
        <w:jc w:val="both"/>
        <w:rPr>
          <w:rFonts w:asciiTheme="minorHAnsi" w:hAnsiTheme="minorHAnsi" w:cstheme="minorHAnsi"/>
          <w:sz w:val="22"/>
          <w:szCs w:val="22"/>
        </w:rPr>
      </w:pPr>
      <w:r>
        <w:rPr>
          <w:rFonts w:asciiTheme="minorHAnsi" w:hAnsiTheme="minorHAnsi" w:cstheme="minorHAnsi"/>
          <w:sz w:val="22"/>
          <w:szCs w:val="22"/>
        </w:rPr>
        <w:t>Názov stavby:</w:t>
      </w:r>
      <w:r>
        <w:rPr>
          <w:rFonts w:asciiTheme="minorHAnsi" w:hAnsiTheme="minorHAnsi" w:cstheme="minorHAnsi"/>
          <w:sz w:val="22"/>
          <w:szCs w:val="22"/>
        </w:rPr>
        <w:tab/>
      </w:r>
      <w:r>
        <w:rPr>
          <w:rFonts w:asciiTheme="minorHAnsi" w:hAnsiTheme="minorHAnsi" w:cstheme="minorHAnsi"/>
          <w:sz w:val="22"/>
          <w:szCs w:val="22"/>
        </w:rPr>
        <w:t>Rýchle energetické opatrenia na zvýšenie energetickej efektívnosti Pracoviska odborného výcviku SOŠ obchodu a služieb, Rimavská Sobota</w:t>
      </w:r>
    </w:p>
    <w:p w14:paraId="5EC83ACA">
      <w:pPr>
        <w:pStyle w:val="18"/>
        <w:ind w:left="708" w:hanging="424"/>
        <w:jc w:val="both"/>
        <w:rPr>
          <w:rFonts w:asciiTheme="minorHAnsi" w:hAnsiTheme="minorHAnsi" w:cstheme="minorHAnsi"/>
          <w:sz w:val="22"/>
          <w:szCs w:val="22"/>
        </w:rPr>
      </w:pPr>
      <w:r>
        <w:rPr>
          <w:rFonts w:asciiTheme="minorHAnsi" w:hAnsiTheme="minorHAnsi" w:cstheme="minorHAnsi"/>
          <w:sz w:val="22"/>
          <w:szCs w:val="22"/>
        </w:rPr>
        <w:t>Miesto stavby:</w:t>
      </w:r>
      <w:r>
        <w:rPr>
          <w:rFonts w:asciiTheme="minorHAnsi" w:hAnsiTheme="minorHAnsi" w:cstheme="minorHAnsi"/>
          <w:sz w:val="22"/>
          <w:szCs w:val="22"/>
        </w:rPr>
        <w:tab/>
      </w:r>
      <w:r>
        <w:rPr>
          <w:rFonts w:asciiTheme="minorHAnsi" w:hAnsiTheme="minorHAnsi" w:cstheme="minorHAnsi"/>
          <w:sz w:val="22"/>
          <w:szCs w:val="22"/>
        </w:rPr>
        <w:t>Železničná 8, 979 01 Rimavská Sobota</w:t>
      </w:r>
    </w:p>
    <w:p w14:paraId="477EE01C">
      <w:pPr>
        <w:pStyle w:val="18"/>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pPr>
        <w:pStyle w:val="18"/>
        <w:numPr>
          <w:ilvl w:val="1"/>
          <w:numId w:val="5"/>
        </w:numPr>
        <w:ind w:left="709" w:hanging="425"/>
        <w:jc w:val="both"/>
        <w:rPr>
          <w:rStyle w:val="24"/>
          <w:rFonts w:ascii="Calibri" w:hAnsi="Calibri" w:cs="Calibri"/>
          <w:b w:val="0"/>
          <w:bCs w:val="0"/>
          <w:sz w:val="22"/>
          <w:szCs w:val="22"/>
        </w:rPr>
      </w:pPr>
      <w:r>
        <w:rPr>
          <w:rStyle w:val="24"/>
          <w:rFonts w:ascii="Calibri" w:hAnsi="Calibri" w:cs="Calibri"/>
          <w:b w:val="0"/>
          <w:bCs w:val="0"/>
          <w:sz w:val="22"/>
          <w:szCs w:val="22"/>
        </w:rPr>
        <w:t>súťažné podklady z Verejného obstarávania  (príloha č. 1 – opis predmetu zákazky)</w:t>
      </w:r>
    </w:p>
    <w:p w14:paraId="6968674A">
      <w:pPr>
        <w:pStyle w:val="18"/>
        <w:numPr>
          <w:ilvl w:val="1"/>
          <w:numId w:val="5"/>
        </w:numPr>
        <w:ind w:left="709" w:hanging="425"/>
        <w:jc w:val="both"/>
        <w:rPr>
          <w:rStyle w:val="24"/>
          <w:rFonts w:ascii="Calibri" w:hAnsi="Calibri" w:cs="Calibri"/>
          <w:b w:val="0"/>
          <w:bCs w:val="0"/>
          <w:sz w:val="22"/>
          <w:szCs w:val="22"/>
        </w:rPr>
      </w:pPr>
      <w:r>
        <w:rPr>
          <w:rStyle w:val="24"/>
          <w:rFonts w:ascii="Calibri" w:hAnsi="Calibri" w:cs="Calibri"/>
          <w:b w:val="0"/>
          <w:bCs w:val="0"/>
          <w:sz w:val="22"/>
          <w:szCs w:val="22"/>
        </w:rPr>
        <w:t xml:space="preserve">rozpočet/ocenený výkaz výmer (príloha č. 2 Zmluvy - </w:t>
      </w:r>
      <w:r>
        <w:rPr>
          <w:rFonts w:ascii="Calibri" w:hAnsi="Calibri" w:cs="Calibri"/>
          <w:bCs/>
          <w:sz w:val="22"/>
          <w:szCs w:val="22"/>
          <w:lang w:eastAsia="cs-CZ"/>
        </w:rPr>
        <w:t>Rozpočet/Ocenený výkaz výmer zhotoviteľa)</w:t>
      </w:r>
      <w:r>
        <w:rPr>
          <w:rStyle w:val="24"/>
          <w:rFonts w:ascii="Calibri" w:hAnsi="Calibri" w:cs="Calibri"/>
          <w:b w:val="0"/>
          <w:bCs w:val="0"/>
          <w:sz w:val="22"/>
          <w:szCs w:val="22"/>
        </w:rPr>
        <w:t xml:space="preserve">; </w:t>
      </w:r>
    </w:p>
    <w:p w14:paraId="3278831E">
      <w:pPr>
        <w:pStyle w:val="18"/>
        <w:numPr>
          <w:ilvl w:val="1"/>
          <w:numId w:val="5"/>
        </w:numPr>
        <w:ind w:left="709" w:hanging="425"/>
        <w:jc w:val="both"/>
        <w:rPr>
          <w:rStyle w:val="24"/>
          <w:rFonts w:ascii="Calibri" w:hAnsi="Calibri" w:cs="Calibri"/>
          <w:b w:val="0"/>
          <w:bCs w:val="0"/>
          <w:sz w:val="22"/>
          <w:szCs w:val="22"/>
        </w:rPr>
      </w:pPr>
      <w:r>
        <w:rPr>
          <w:rStyle w:val="24"/>
          <w:rFonts w:ascii="Calibri" w:hAnsi="Calibri" w:cs="Calibri"/>
          <w:b w:val="0"/>
          <w:bCs w:val="0"/>
          <w:sz w:val="22"/>
          <w:szCs w:val="22"/>
        </w:rPr>
        <w:t xml:space="preserve">tento dokument označený ako „zmluva o dielo“; </w:t>
      </w:r>
    </w:p>
    <w:p w14:paraId="3FC9C7C0">
      <w:pPr>
        <w:pStyle w:val="18"/>
        <w:ind w:left="284"/>
        <w:jc w:val="both"/>
        <w:rPr>
          <w:rStyle w:val="24"/>
          <w:rFonts w:ascii="Calibri" w:hAnsi="Calibri" w:cs="Calibri"/>
          <w:b w:val="0"/>
          <w:bCs w:val="0"/>
          <w:sz w:val="22"/>
          <w:szCs w:val="22"/>
        </w:rPr>
      </w:pPr>
      <w:r>
        <w:rPr>
          <w:rStyle w:val="24"/>
          <w:rFonts w:asciiTheme="minorHAnsi" w:hAnsiTheme="minorHAnsi" w:cstheme="minorHAnsi"/>
          <w:b w:val="0"/>
          <w:bCs w:val="0"/>
          <w:sz w:val="22"/>
          <w:szCs w:val="22"/>
        </w:rPr>
        <w:t xml:space="preserve">pričom uvedené dokumenty sú záväzné a vzájomne sa doplňujúce. V prípade rozporov medzi nimi platí poradie ich záväznosti (od 1.1. po 1.3., pričom najvyššiu prioritu má dokument s označením 1.1.) tak ako sú uvedené vyššie v tomto odseku Zmluvy. </w:t>
      </w:r>
      <w:r>
        <w:rPr>
          <w:rStyle w:val="24"/>
          <w:rFonts w:ascii="Calibri" w:hAnsi="Calibri" w:cs="Calibri"/>
          <w:b w:val="0"/>
          <w:bCs w:val="0"/>
          <w:sz w:val="22"/>
          <w:szCs w:val="22"/>
        </w:rPr>
        <w:t>Za účelom predídenia akýchkoľvek pochybností platí, že výkladové pravidlo podľa predchádzajúcej vety sa uplatňuje výlučne na špecifikáciu a rozsah diela.</w:t>
      </w:r>
    </w:p>
    <w:p w14:paraId="1DD743E1">
      <w:pPr>
        <w:pStyle w:val="18"/>
        <w:numPr>
          <w:ilvl w:val="0"/>
          <w:numId w:val="6"/>
        </w:numPr>
        <w:tabs>
          <w:tab w:val="left" w:pos="426"/>
          <w:tab w:val="left" w:pos="851"/>
        </w:tabs>
        <w:ind w:left="284" w:hanging="284"/>
        <w:jc w:val="both"/>
        <w:rPr>
          <w:rFonts w:asciiTheme="minorHAnsi" w:hAnsiTheme="minorHAnsi" w:cstheme="minorHAnsi"/>
        </w:rPr>
      </w:pPr>
      <w:r>
        <w:rPr>
          <w:rFonts w:asciiTheme="minorHAnsi" w:hAnsiTheme="minorHAnsi" w:cstheme="minorHAnsi"/>
          <w:sz w:val="22"/>
          <w:szCs w:val="22"/>
        </w:rPr>
        <w:t xml:space="preserve">Predmetom zmluvy je </w:t>
      </w:r>
      <w:r>
        <w:rPr>
          <w:rFonts w:asciiTheme="minorHAnsi" w:hAnsiTheme="minorHAnsi" w:cstheme="minorHAnsi"/>
          <w:b/>
          <w:bCs/>
          <w:sz w:val="22"/>
          <w:szCs w:val="22"/>
        </w:rPr>
        <w:t>zateplenie strechy vrátane rekonštrukcie bleskozvodu</w:t>
      </w:r>
      <w:r>
        <w:rPr>
          <w:rFonts w:asciiTheme="minorHAnsi" w:hAnsiTheme="minorHAnsi" w:cstheme="minorHAnsi"/>
          <w:sz w:val="22"/>
          <w:szCs w:val="22"/>
        </w:rPr>
        <w:t xml:space="preserve">, </w:t>
      </w:r>
      <w:r>
        <w:rPr>
          <w:rFonts w:asciiTheme="minorHAnsi" w:hAnsiTheme="minorHAnsi" w:cstheme="minorHAnsi"/>
          <w:b/>
          <w:bCs/>
          <w:sz w:val="22"/>
          <w:szCs w:val="22"/>
        </w:rPr>
        <w:t>výmena vonkajších otvorových konštrukcií a osvetlenia</w:t>
      </w:r>
      <w:r>
        <w:rPr>
          <w:rFonts w:asciiTheme="minorHAnsi" w:hAnsiTheme="minorHAnsi" w:cstheme="minorHAnsi"/>
          <w:sz w:val="22"/>
          <w:szCs w:val="22"/>
        </w:rPr>
        <w:t xml:space="preserve"> v zmysle stavebného povolenia vydaného na základe projektovej dokumentácie stavby.</w:t>
      </w:r>
    </w:p>
    <w:p w14:paraId="64B684A4">
      <w:pPr>
        <w:pStyle w:val="18"/>
        <w:numPr>
          <w:ilvl w:val="0"/>
          <w:numId w:val="6"/>
        </w:numPr>
        <w:tabs>
          <w:tab w:val="left" w:pos="426"/>
          <w:tab w:val="left" w:pos="851"/>
        </w:tabs>
        <w:ind w:left="284" w:hanging="284"/>
        <w:jc w:val="both"/>
        <w:rPr>
          <w:rFonts w:asciiTheme="minorHAnsi" w:hAnsiTheme="minorHAnsi" w:cstheme="minorBidi"/>
          <w:sz w:val="22"/>
          <w:szCs w:val="22"/>
          <w:shd w:val="clear" w:color="auto" w:fill="FFFFFF"/>
        </w:rPr>
      </w:pPr>
      <w:r>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pPr>
        <w:pStyle w:val="18"/>
        <w:numPr>
          <w:ilvl w:val="0"/>
          <w:numId w:val="6"/>
        </w:numPr>
        <w:tabs>
          <w:tab w:val="left" w:pos="426"/>
          <w:tab w:val="left" w:pos="851"/>
        </w:tabs>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vykonávaní diela postupovať s odbornou starostlivosťou a striktne dodržiavať ustanovenia najmä zákona č. 25/2025 Z. z. </w:t>
      </w:r>
      <w:r>
        <w:rPr>
          <w:rFonts w:asciiTheme="minorHAnsi" w:hAnsiTheme="minorHAnsi" w:cstheme="minorHAnsi"/>
          <w:b/>
          <w:bCs/>
          <w:sz w:val="22"/>
          <w:szCs w:val="22"/>
        </w:rPr>
        <w:t>stavebný zákon</w:t>
      </w:r>
      <w:r>
        <w:rPr>
          <w:rFonts w:asciiTheme="minorHAnsi" w:hAnsiTheme="minorHAnsi" w:cstheme="minorHAnsi"/>
          <w:sz w:val="22"/>
          <w:szCs w:val="22"/>
        </w:rPr>
        <w:t xml:space="preserve"> o zmene a doplnení niektorých zákonov (ďalej len ako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Z. z., ktorou sa ustanovujú </w:t>
      </w:r>
      <w:r>
        <w:rPr>
          <w:rStyle w:val="31"/>
          <w:rFonts w:asciiTheme="minorHAnsi" w:hAnsiTheme="minorHAnsi" w:cstheme="minorHAnsi"/>
          <w:b/>
          <w:vanish w:val="0"/>
          <w:color w:val="auto"/>
          <w:kern w:val="36"/>
          <w:sz w:val="22"/>
          <w:szCs w:val="22"/>
        </w:rPr>
        <w:t xml:space="preserve">podrobnosti na zaistenie bezpečnosti a ochrany zdravia pri stavebných prácach a prácach s nimi súvisiacich a podrobnosti o odbornej spôsobilosti na výkon niektorých pracovných činností </w:t>
      </w:r>
      <w:r>
        <w:rPr>
          <w:rFonts w:asciiTheme="minorHAnsi" w:hAnsiTheme="minorHAnsi" w:cstheme="minorHAnsi"/>
          <w:sz w:val="22"/>
          <w:szCs w:val="22"/>
        </w:rPr>
        <w:t>v znení neskorších predpisov</w:t>
      </w:r>
      <w:r>
        <w:rPr>
          <w:rStyle w:val="31"/>
          <w:rFonts w:asciiTheme="minorHAnsi" w:hAnsiTheme="minorHAnsi" w:cstheme="minorHAnsi"/>
          <w:color w:val="auto"/>
          <w:kern w:val="36"/>
          <w:sz w:val="22"/>
          <w:szCs w:val="22"/>
        </w:rPr>
        <w:t xml:space="preserve">, </w:t>
      </w:r>
      <w:r>
        <w:rPr>
          <w:rStyle w:val="31"/>
          <w:rFonts w:asciiTheme="minorHAnsi" w:hAnsiTheme="minorHAnsi" w:cstheme="minorHAnsi"/>
          <w:vanish w:val="0"/>
          <w:color w:val="auto"/>
          <w:kern w:val="36"/>
          <w:sz w:val="22"/>
          <w:szCs w:val="22"/>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 273/2025 Z. z., ktorým sa mení a dopĺňa zákon č. 79/2015 Z. z. o odpadoch a o zmene a doplnení niektorých zákonov v znení neskorších predpisov a ktorým sa menia a dopĺňajú niektoré zákony, zákona č.</w:t>
      </w:r>
      <w:r>
        <w:rPr>
          <w:rFonts w:asciiTheme="minorHAnsi" w:hAnsiTheme="minorHAnsi" w:cstheme="minorHAnsi"/>
          <w:color w:val="070707"/>
          <w:sz w:val="22"/>
          <w:szCs w:val="22"/>
        </w:rPr>
        <w:t xml:space="preserve"> 56/2018 Z. z. </w:t>
      </w:r>
      <w:r>
        <w:rPr>
          <w:rStyle w:val="32"/>
          <w:rFonts w:asciiTheme="minorHAnsi" w:hAnsiTheme="minorHAnsi" w:cstheme="minorHAnsi"/>
          <w:b/>
          <w:color w:val="070707"/>
          <w:sz w:val="22"/>
          <w:szCs w:val="22"/>
        </w:rPr>
        <w:t>o posudzovaní zhody výrobku, sprístupňovaní určeného výrobku na trhu</w:t>
      </w:r>
      <w:r>
        <w:rPr>
          <w:rStyle w:val="32"/>
          <w:rFonts w:asciiTheme="minorHAnsi" w:hAnsiTheme="minorHAnsi" w:cstheme="minorHAnsi"/>
          <w:color w:val="070707"/>
          <w:sz w:val="22"/>
          <w:szCs w:val="22"/>
        </w:rPr>
        <w:t xml:space="preserve"> a o zmene a doplnení niektorých zákonov v znení neskorších predpisov a so zákonom č. 364/2004  Z. z. </w:t>
      </w:r>
      <w:r>
        <w:rPr>
          <w:rStyle w:val="32"/>
          <w:rFonts w:asciiTheme="minorHAnsi" w:hAnsiTheme="minorHAnsi" w:cstheme="minorHAnsi"/>
          <w:b/>
          <w:bCs/>
          <w:color w:val="070707"/>
          <w:sz w:val="22"/>
          <w:szCs w:val="22"/>
        </w:rPr>
        <w:t>o vodách</w:t>
      </w:r>
      <w:r>
        <w:rPr>
          <w:rStyle w:val="32"/>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 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aplikovateľných v čase vykonávania jednotlivých prác, dodania diela, resp. plnenia príslušných povinností; objednávateľ na ten účel poskytne zhotoviteľovi všetku nevyhnutne potrebnú súčinnosť. Pokuty alebo iné sankcie uložené objednávateľovi alebo škodu spôsobenú objednávateľovi v dôsledku porušenia povinností zhotoviteľa stanovených vyššie sa zhotoviteľ zaväzuje v celom rozsahu uhradiť objednávateľovi.</w:t>
      </w:r>
    </w:p>
    <w:p w14:paraId="3200BCE3">
      <w:pPr>
        <w:pStyle w:val="18"/>
        <w:numPr>
          <w:ilvl w:val="0"/>
          <w:numId w:val="6"/>
        </w:numPr>
        <w:tabs>
          <w:tab w:val="left" w:pos="426"/>
          <w:tab w:val="left" w:pos="851"/>
        </w:tabs>
        <w:ind w:left="284" w:hanging="284"/>
        <w:jc w:val="both"/>
        <w:rPr>
          <w:rFonts w:asciiTheme="minorHAnsi" w:hAnsiTheme="minorHAnsi" w:cstheme="minorHAnsi"/>
          <w:bCs/>
          <w:shd w:val="clear" w:color="auto" w:fill="FFFFFF"/>
        </w:rPr>
      </w:pPr>
      <w:r>
        <w:rPr>
          <w:rFonts w:asciiTheme="minorHAnsi" w:hAnsiTheme="minorHAnsi" w:cstheme="minorHAnsi"/>
          <w:sz w:val="22"/>
          <w:szCs w:val="22"/>
        </w:rPr>
        <w:t>Zhotoviteľ</w:t>
      </w:r>
      <w:r>
        <w:rPr>
          <w:rFonts w:asciiTheme="minorHAnsi" w:hAnsiTheme="minorHAnsi" w:cstheme="minorHAnsi"/>
          <w:bCs/>
          <w:sz w:val="22"/>
          <w:szCs w:val="22"/>
          <w:shd w:val="clear" w:color="auto" w:fill="FFFFFF"/>
        </w:rPr>
        <w:t xml:space="preserve"> sa osobitne zaväzuje vykonať  dielo v </w:t>
      </w:r>
      <w:r>
        <w:rPr>
          <w:rFonts w:asciiTheme="minorHAnsi" w:hAnsiTheme="minorHAnsi" w:cstheme="minorHAnsi"/>
          <w:sz w:val="22"/>
          <w:szCs w:val="22"/>
        </w:rPr>
        <w:t>súlade</w:t>
      </w:r>
      <w:r>
        <w:rPr>
          <w:rFonts w:asciiTheme="minorHAnsi" w:hAnsiTheme="minorHAnsi" w:cstheme="minorHAnsi"/>
          <w:bCs/>
          <w:sz w:val="22"/>
          <w:szCs w:val="22"/>
          <w:shd w:val="clear" w:color="auto" w:fill="FFFFFF"/>
        </w:rPr>
        <w:t xml:space="preserve"> s normou ISO 20887/2020 Udržateľnosť budov a stavebnoinžinierskych prác, o čom  vydá zhotoviteľ objednávateľovi, ihneď potom, ako o to objednávateľ požiada, písomné potvrdenie</w:t>
      </w:r>
      <w:r>
        <w:rPr>
          <w:rFonts w:asciiTheme="minorHAnsi" w:hAnsiTheme="minorHAnsi" w:cstheme="minorHAnsi"/>
          <w:bCs/>
          <w:shd w:val="clear" w:color="auto" w:fill="FFFFFF"/>
        </w:rPr>
        <w:t>.</w:t>
      </w:r>
    </w:p>
    <w:p w14:paraId="7F430F79">
      <w:pPr>
        <w:pStyle w:val="18"/>
        <w:tabs>
          <w:tab w:val="left" w:pos="426"/>
          <w:tab w:val="left" w:pos="851"/>
        </w:tabs>
        <w:ind w:left="284" w:hanging="284"/>
        <w:jc w:val="both"/>
        <w:rPr>
          <w:rFonts w:asciiTheme="minorHAnsi" w:hAnsiTheme="minorHAnsi" w:cstheme="minorHAnsi"/>
          <w:bCs/>
          <w:sz w:val="22"/>
          <w:szCs w:val="22"/>
          <w:shd w:val="clear" w:color="auto" w:fill="FFFFFF"/>
        </w:rPr>
      </w:pPr>
    </w:p>
    <w:p w14:paraId="61FFE12E">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pPr>
        <w:pStyle w:val="21"/>
        <w:numPr>
          <w:ilvl w:val="0"/>
          <w:numId w:val="7"/>
        </w:numPr>
        <w:tabs>
          <w:tab w:val="left" w:pos="426"/>
        </w:tabs>
        <w:ind w:left="284" w:hanging="284"/>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pPr>
        <w:pStyle w:val="21"/>
        <w:numPr>
          <w:ilvl w:val="1"/>
          <w:numId w:val="8"/>
        </w:numPr>
        <w:tabs>
          <w:tab w:val="left" w:pos="851"/>
        </w:tabs>
        <w:ind w:left="851" w:hanging="567"/>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miesta realizácie diela zhotoviteľom:</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do 3 pracovných dní</w:t>
      </w:r>
      <w:r>
        <w:rPr>
          <w:rFonts w:asciiTheme="minorHAnsi" w:hAnsiTheme="minorHAnsi" w:cstheme="minorHAnsi"/>
          <w:bCs/>
          <w:color w:val="auto"/>
          <w:sz w:val="22"/>
          <w:szCs w:val="22"/>
        </w:rPr>
        <w:t xml:space="preserve"> odo dňa nadobudnutia účinnosti tejto Zmluvy</w:t>
      </w:r>
      <w:r>
        <w:rPr>
          <w:rFonts w:asciiTheme="minorHAnsi" w:hAnsiTheme="minorHAnsi" w:cstheme="minorHAnsi"/>
          <w:color w:val="auto"/>
          <w:sz w:val="22"/>
          <w:szCs w:val="22"/>
        </w:rPr>
        <w:t xml:space="preserve">, </w:t>
      </w:r>
    </w:p>
    <w:p w14:paraId="66DD7338">
      <w:pPr>
        <w:pStyle w:val="21"/>
        <w:numPr>
          <w:ilvl w:val="1"/>
          <w:numId w:val="8"/>
        </w:numPr>
        <w:tabs>
          <w:tab w:val="left" w:pos="851"/>
        </w:tabs>
        <w:ind w:left="851" w:hanging="567"/>
        <w:jc w:val="both"/>
        <w:rPr>
          <w:rFonts w:asciiTheme="minorHAnsi" w:hAnsiTheme="minorHAnsi" w:cstheme="minorHAnsi"/>
          <w:color w:val="auto"/>
          <w:sz w:val="22"/>
          <w:szCs w:val="22"/>
        </w:rPr>
      </w:pPr>
      <w:bookmarkStart w:id="1" w:name="_Hlk101338181"/>
      <w:r>
        <w:rPr>
          <w:rFonts w:asciiTheme="minorHAnsi" w:hAnsiTheme="minorHAnsi" w:cstheme="minorHAnsi"/>
          <w:b/>
          <w:bCs/>
          <w:color w:val="auto"/>
          <w:sz w:val="22"/>
          <w:szCs w:val="22"/>
        </w:rPr>
        <w:t>začiatok realizácie diela:</w:t>
      </w:r>
      <w:r>
        <w:rPr>
          <w:rFonts w:asciiTheme="minorHAnsi" w:hAnsiTheme="minorHAnsi" w:cstheme="minorHAnsi"/>
          <w:color w:val="auto"/>
          <w:sz w:val="22"/>
          <w:szCs w:val="22"/>
        </w:rPr>
        <w:t xml:space="preserve"> bez zbytočného odkladu po prevzatí miesta realizácie diela zhotoviteľom,  najneskôr </w:t>
      </w:r>
      <w:r>
        <w:rPr>
          <w:rFonts w:asciiTheme="minorHAnsi" w:hAnsiTheme="minorHAnsi" w:cstheme="minorHAnsi"/>
          <w:b/>
          <w:bCs/>
          <w:color w:val="auto"/>
          <w:sz w:val="22"/>
          <w:szCs w:val="22"/>
        </w:rPr>
        <w:t>do 3 pracovných dní odo dňa prevzatia miesta realizácie diela,</w:t>
      </w:r>
    </w:p>
    <w:bookmarkEnd w:id="1"/>
    <w:p w14:paraId="10194605">
      <w:pPr>
        <w:pStyle w:val="21"/>
        <w:numPr>
          <w:ilvl w:val="1"/>
          <w:numId w:val="8"/>
        </w:numPr>
        <w:tabs>
          <w:tab w:val="left" w:pos="426"/>
          <w:tab w:val="left" w:pos="851"/>
        </w:tabs>
        <w:ind w:left="851" w:hanging="567"/>
        <w:jc w:val="both"/>
        <w:rPr>
          <w:rFonts w:asciiTheme="minorHAnsi" w:hAnsiTheme="minorHAnsi" w:cstheme="minorBidi"/>
          <w:color w:val="auto"/>
          <w:sz w:val="22"/>
          <w:szCs w:val="22"/>
        </w:rPr>
      </w:pPr>
      <w:bookmarkStart w:id="2" w:name="_Hlk101338221"/>
      <w:r>
        <w:rPr>
          <w:rFonts w:asciiTheme="minorHAnsi" w:hAnsiTheme="minorHAnsi" w:cstheme="minorBidi"/>
          <w:b/>
          <w:bCs/>
          <w:sz w:val="22"/>
          <w:szCs w:val="22"/>
        </w:rPr>
        <w:t>dokončenie realizácie (vykonania) diela:</w:t>
      </w:r>
      <w:r>
        <w:rPr>
          <w:rFonts w:asciiTheme="minorHAnsi" w:hAnsiTheme="minorHAnsi" w:cstheme="minorBidi"/>
          <w:sz w:val="22"/>
          <w:szCs w:val="22"/>
        </w:rPr>
        <w:t xml:space="preserve"> najneskôr </w:t>
      </w:r>
      <w:r>
        <w:rPr>
          <w:rFonts w:asciiTheme="minorHAnsi" w:hAnsiTheme="minorHAnsi" w:cstheme="minorBidi"/>
          <w:b/>
          <w:bCs/>
          <w:color w:val="auto"/>
          <w:sz w:val="22"/>
          <w:szCs w:val="22"/>
        </w:rPr>
        <w:t xml:space="preserve">do 100 kalendárnych dní </w:t>
      </w:r>
      <w:r>
        <w:rPr>
          <w:rFonts w:asciiTheme="minorHAnsi" w:hAnsiTheme="minorHAnsi" w:cstheme="minorBidi"/>
          <w:b/>
          <w:bCs/>
          <w:sz w:val="22"/>
          <w:szCs w:val="22"/>
        </w:rPr>
        <w:t>odo dňa prevzatia miesta realizácie diela zhotoviteľom.</w:t>
      </w:r>
      <w:bookmarkEnd w:id="2"/>
    </w:p>
    <w:p w14:paraId="5F37F6F1">
      <w:pPr>
        <w:pStyle w:val="21"/>
        <w:numPr>
          <w:ilvl w:val="0"/>
          <w:numId w:val="7"/>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V prípade, ak zhotoviteľ riadne vykoná dielo pred termínom špecifikovaným v ods. 1 bod 1.3. tohto článku Zmluvy, bude objednávateľ povinný takto vykonané dielo prevziať.</w:t>
      </w:r>
    </w:p>
    <w:p w14:paraId="315A70DC">
      <w:pPr>
        <w:pStyle w:val="21"/>
        <w:numPr>
          <w:ilvl w:val="0"/>
          <w:numId w:val="7"/>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písomne informovať objednávateľa o tejto skutočnosti prostredníctvom elektronickej pošty na adresu info@sosos.sk.</w:t>
      </w:r>
    </w:p>
    <w:p w14:paraId="021B34EE">
      <w:pPr>
        <w:pStyle w:val="21"/>
        <w:ind w:left="284"/>
        <w:jc w:val="both"/>
        <w:rPr>
          <w:rFonts w:asciiTheme="minorHAnsi" w:hAnsiTheme="minorHAnsi" w:cstheme="minorHAnsi"/>
          <w:color w:val="auto"/>
          <w:sz w:val="22"/>
          <w:szCs w:val="22"/>
        </w:rPr>
      </w:pPr>
    </w:p>
    <w:p w14:paraId="75A863C9">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799079EF">
      <w:pPr>
        <w:pStyle w:val="33"/>
        <w:numPr>
          <w:ilvl w:val="0"/>
          <w:numId w:val="9"/>
        </w:numPr>
        <w:tabs>
          <w:tab w:val="left" w:pos="284"/>
        </w:tabs>
        <w:ind w:left="284" w:hanging="284"/>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na základe cenovej ponuky zhotoviteľa ako uchádzača vo Verejnom obstarávaní ako súčet jednotlivých ocenených položiek uvedených v prílohe č. </w:t>
      </w:r>
      <w:r>
        <w:rPr>
          <w:rFonts w:hint="default" w:asciiTheme="minorHAnsi" w:hAnsiTheme="minorHAnsi" w:cstheme="minorHAnsi"/>
          <w:color w:val="000000"/>
          <w:sz w:val="22"/>
          <w:szCs w:val="22"/>
          <w:lang w:val="sk-SK"/>
        </w:rPr>
        <w:t>2</w:t>
      </w:r>
      <w:bookmarkStart w:id="10" w:name="_GoBack"/>
      <w:bookmarkEnd w:id="10"/>
      <w:r>
        <w:rPr>
          <w:rFonts w:asciiTheme="minorHAnsi" w:hAnsiTheme="minorHAnsi" w:cstheme="minorHAnsi"/>
          <w:color w:val="000000"/>
          <w:sz w:val="22"/>
          <w:szCs w:val="22"/>
        </w:rPr>
        <w:t xml:space="preserve"> Zmluvy.</w:t>
      </w:r>
    </w:p>
    <w:p w14:paraId="1BE49FB1">
      <w:pPr>
        <w:pStyle w:val="33"/>
        <w:numPr>
          <w:ilvl w:val="0"/>
          <w:numId w:val="9"/>
        </w:numPr>
        <w:tabs>
          <w:tab w:val="left" w:pos="284"/>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za dielo je dohodnutá nasledovne: </w:t>
      </w:r>
    </w:p>
    <w:p w14:paraId="2CCF07A5">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 xml:space="preserve">EUR </w:t>
      </w:r>
    </w:p>
    <w:p w14:paraId="1D64FD37">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DPH vo výške 23 %: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 xml:space="preserve">EUR </w:t>
      </w:r>
    </w:p>
    <w:p w14:paraId="4652EA44">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EUR</w:t>
      </w:r>
    </w:p>
    <w:p w14:paraId="75F210E3">
      <w:pPr>
        <w:autoSpaceDE w:val="0"/>
        <w:autoSpaceDN w:val="0"/>
        <w:adjustRightInd w:val="0"/>
        <w:spacing w:line="240" w:lineRule="auto"/>
        <w:ind w:firstLine="284"/>
        <w:rPr>
          <w:rFonts w:cstheme="minorHAnsi"/>
          <w:color w:val="000000"/>
        </w:rPr>
      </w:pPr>
      <w:r>
        <w:rPr>
          <w:rFonts w:cstheme="minorHAnsi"/>
          <w:color w:val="000000"/>
          <w:highlight w:val="yellow"/>
        </w:rPr>
        <w:t>(slovom: ...................................... s DPH)</w:t>
      </w:r>
      <w:r>
        <w:rPr>
          <w:rFonts w:cstheme="minorHAnsi"/>
          <w:color w:val="000000"/>
        </w:rPr>
        <w:t xml:space="preserve"> </w:t>
      </w:r>
    </w:p>
    <w:p w14:paraId="3609539B">
      <w:pPr>
        <w:autoSpaceDE w:val="0"/>
        <w:autoSpaceDN w:val="0"/>
        <w:adjustRightInd w:val="0"/>
        <w:spacing w:line="240" w:lineRule="auto"/>
        <w:ind w:firstLine="284"/>
        <w:rPr>
          <w:rFonts w:cstheme="minorHAnsi"/>
          <w:color w:val="000000"/>
        </w:rPr>
      </w:pPr>
      <w:r>
        <w:rPr>
          <w:rFonts w:cstheme="minorHAnsi"/>
          <w:color w:val="000000"/>
        </w:rPr>
        <w:t>(ďalej len ako „</w:t>
      </w:r>
      <w:r>
        <w:rPr>
          <w:rFonts w:cstheme="minorHAnsi"/>
          <w:b/>
          <w:bCs/>
          <w:color w:val="000000"/>
        </w:rPr>
        <w:t>cena za dielo</w:t>
      </w:r>
      <w:r>
        <w:rPr>
          <w:rFonts w:cstheme="minorHAnsi"/>
          <w:color w:val="000000"/>
        </w:rPr>
        <w:t>“).</w:t>
      </w:r>
    </w:p>
    <w:p w14:paraId="627EBAAA">
      <w:pPr>
        <w:pStyle w:val="20"/>
        <w:numPr>
          <w:ilvl w:val="0"/>
          <w:numId w:val="9"/>
        </w:numPr>
        <w:tabs>
          <w:tab w:val="left" w:pos="284"/>
        </w:tabs>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Cena za dielo dohodnutá zmluvnými stranami podľa ods. 2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ako aj ďalšie náklady zhotoviteľa na plnenie jeho ďalších záväzkov v zmysle Zmluvy. </w:t>
      </w:r>
    </w:p>
    <w:p w14:paraId="578F3E13">
      <w:pPr>
        <w:pStyle w:val="20"/>
        <w:numPr>
          <w:ilvl w:val="0"/>
          <w:numId w:val="9"/>
        </w:numPr>
        <w:tabs>
          <w:tab w:val="left" w:pos="284"/>
        </w:tabs>
        <w:ind w:left="284" w:hanging="284"/>
        <w:contextualSpacing/>
        <w:jc w:val="both"/>
        <w:rPr>
          <w:rFonts w:asciiTheme="minorHAnsi" w:hAnsiTheme="minorHAnsi" w:cstheme="minorHAnsi"/>
        </w:rPr>
      </w:pPr>
      <w:r>
        <w:rPr>
          <w:rFonts w:asciiTheme="minorHAnsi" w:hAnsiTheme="minorHAnsi" w:cstheme="minorHAnsi"/>
        </w:rPr>
        <w:t>Príloha č. 2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 U všetkých položiek rozpočtu/oceneného výkazu výmer platí zásada, že sa rozumejú vrátane všetkých bezprostredne súvisiacich výkonov a činností vrátane všetkých potrebných pomocných, montážnych, spojovacích, kompletizačných a iných materiálov.</w:t>
      </w:r>
    </w:p>
    <w:p w14:paraId="084CCE44">
      <w:pPr>
        <w:pStyle w:val="20"/>
        <w:numPr>
          <w:ilvl w:val="0"/>
          <w:numId w:val="9"/>
        </w:numPr>
        <w:tabs>
          <w:tab w:val="left" w:pos="284"/>
        </w:tabs>
        <w:spacing w:before="240"/>
        <w:ind w:left="284" w:hanging="284"/>
        <w:contextualSpacing/>
        <w:jc w:val="both"/>
        <w:rPr>
          <w:rFonts w:cs="Calibri" w:asciiTheme="minorHAnsi" w:hAnsiTheme="minorHAnsi"/>
        </w:rPr>
      </w:pPr>
      <w:r>
        <w:rPr>
          <w:rFonts w:cs="Calibri" w:asciiTheme="minorHAnsi" w:hAnsiTheme="minorHAnsi"/>
        </w:rPr>
        <w:t xml:space="preserve">Zmluvné strany sa dohodli, že pre prípad vzniku sporu o výšku ceny za dielo sa má za to, že zhotoviteľ získal vo Verejnom obstarávaní všetky informácie a v ponúknutej cene za dielo ich pri predložení ponuky vo Verejnom obstarávaní riadne zohľadnil. Zhotoviteľ sa nemôže dovolávať zvýšenia ceny, a to ani z dôvodu, že mu neboli známe alebo poskytnuté všetky potrebné informácie a podklady. </w:t>
      </w:r>
    </w:p>
    <w:p w14:paraId="44D2D637">
      <w:pPr>
        <w:pStyle w:val="20"/>
        <w:tabs>
          <w:tab w:val="left" w:pos="426"/>
        </w:tabs>
        <w:autoSpaceDE w:val="0"/>
        <w:autoSpaceDN w:val="0"/>
        <w:adjustRightInd w:val="0"/>
        <w:ind w:left="284"/>
        <w:jc w:val="both"/>
        <w:rPr>
          <w:rFonts w:asciiTheme="minorHAnsi" w:hAnsiTheme="minorHAnsi" w:cstheme="minorHAnsi"/>
          <w:color w:val="000000"/>
        </w:rPr>
      </w:pPr>
    </w:p>
    <w:p w14:paraId="17DB2B51">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pPr>
        <w:autoSpaceDE w:val="0"/>
        <w:autoSpaceDN w:val="0"/>
        <w:adjustRightInd w:val="0"/>
        <w:spacing w:after="0" w:line="240" w:lineRule="auto"/>
        <w:jc w:val="center"/>
        <w:rPr>
          <w:rFonts w:cstheme="minorHAnsi"/>
          <w:color w:val="000000"/>
        </w:rPr>
      </w:pPr>
      <w:r>
        <w:rPr>
          <w:rFonts w:cstheme="minorHAnsi"/>
          <w:b/>
          <w:bCs/>
          <w:color w:val="000000"/>
        </w:rPr>
        <w:t>Platobné a fakturačné podmienky</w:t>
      </w:r>
    </w:p>
    <w:p w14:paraId="75855761">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E2DCE61">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faktúru na úhradu ceny za dielo po riadnom vykonaní diela, jeho odovzdaní a prevzatí, po odstránení všetkých vád a nedorobkov na diele uvedených v preberacom protokole, </w:t>
      </w:r>
      <w:r>
        <w:rPr>
          <w:rFonts w:asciiTheme="minorHAnsi" w:hAnsiTheme="minorHAnsi" w:cstheme="minorHAnsi"/>
          <w:b/>
          <w:bCs/>
          <w:color w:val="000000"/>
        </w:rPr>
        <w:t>na základe preberacieho protokolu o odovzdaní a prevzatí diela</w:t>
      </w:r>
      <w:r>
        <w:rPr>
          <w:rFonts w:asciiTheme="minorHAnsi" w:hAnsiTheme="minorHAnsi" w:cstheme="minorHAnsi"/>
          <w:color w:val="000000"/>
        </w:rPr>
        <w:t xml:space="preserve"> podpísaného oboma Zmluvnými stranami. Okrem preberacieho protokolu bude </w:t>
      </w:r>
      <w:bookmarkStart w:id="3" w:name="_Hlk517874810"/>
      <w:bookmarkStart w:id="4" w:name="_Hlk517878276"/>
      <w:bookmarkStart w:id="5" w:name="_Hlk517878781"/>
      <w:bookmarkStart w:id="6" w:name="_Hlk517878190"/>
      <w:r>
        <w:rPr>
          <w:rFonts w:asciiTheme="minorHAnsi" w:hAnsiTheme="minorHAnsi" w:cstheme="minorHAnsi"/>
          <w:color w:val="000000"/>
        </w:rPr>
        <w:t xml:space="preserve">prílohou faktúry aj </w:t>
      </w:r>
      <w:r>
        <w:rPr>
          <w:rFonts w:asciiTheme="minorHAnsi" w:hAnsiTheme="minorHAnsi" w:cstheme="minorHAnsi"/>
          <w:b/>
          <w:bCs/>
          <w:color w:val="000000"/>
        </w:rPr>
        <w:t xml:space="preserve">súpis vykonaných prác a dodávok na diele </w:t>
      </w:r>
      <w:r>
        <w:rPr>
          <w:rFonts w:asciiTheme="minorHAnsi" w:hAnsiTheme="minorHAnsi" w:cstheme="minorHAnsi"/>
          <w:color w:val="000000"/>
        </w:rPr>
        <w:t>a</w:t>
      </w:r>
      <w:r>
        <w:rPr>
          <w:rFonts w:asciiTheme="minorHAnsi" w:hAnsiTheme="minorHAnsi" w:cstheme="minorHAnsi"/>
          <w:b/>
          <w:bCs/>
          <w:color w:val="000000"/>
        </w:rPr>
        <w:t xml:space="preserve"> zisťovací protokol</w:t>
      </w:r>
      <w:r>
        <w:rPr>
          <w:rFonts w:asciiTheme="minorHAnsi" w:hAnsiTheme="minorHAnsi" w:cstheme="minorHAnsi"/>
          <w:color w:val="000000"/>
        </w:rPr>
        <w:t xml:space="preserve"> podpísaný stavebným dozorom objednávateľa, ktorý svojim podpisom zaručuje,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p>
    <w:p w14:paraId="05AC1BA2">
      <w:pPr>
        <w:pStyle w:val="20"/>
        <w:widowControl w:val="0"/>
        <w:numPr>
          <w:ilvl w:val="0"/>
          <w:numId w:val="10"/>
        </w:numPr>
        <w:tabs>
          <w:tab w:val="left" w:pos="426"/>
        </w:tabs>
        <w:ind w:left="284" w:hanging="284"/>
        <w:contextualSpacing/>
        <w:jc w:val="both"/>
        <w:rPr>
          <w:rFonts w:asciiTheme="minorHAnsi" w:hAnsiTheme="minorHAnsi" w:cstheme="minorHAnsi"/>
          <w:lang w:eastAsia="cs-CZ"/>
        </w:rPr>
      </w:pPr>
      <w:r>
        <w:rPr>
          <w:rFonts w:asciiTheme="minorHAnsi" w:hAnsiTheme="minorHAnsi" w:cstheme="minorHAnsi"/>
        </w:rPr>
        <w:t xml:space="preserve">Faktúra musí byť vyhotovená v súlade s aplikovateľnými právnymi predpismi, najmä </w:t>
      </w:r>
      <w:r>
        <w:rPr>
          <w:rFonts w:asciiTheme="minorHAnsi" w:hAnsiTheme="minorHAnsi" w:cstheme="minorHAnsi"/>
          <w:color w:val="000000"/>
        </w:rPr>
        <w:t xml:space="preserve">v zmysle § 74 ods. 1 zákona </w:t>
      </w:r>
      <w:r>
        <w:rPr>
          <w:rFonts w:asciiTheme="minorHAnsi" w:hAnsiTheme="minorHAnsi" w:cstheme="minorHAnsi"/>
        </w:rPr>
        <w:t xml:space="preserve">č.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zhotoviteľa. </w:t>
      </w:r>
      <w:r>
        <w:rPr>
          <w:rFonts w:asciiTheme="minorHAnsi" w:hAnsiTheme="minorHAnsi" w:cstheme="minorHAnsi"/>
          <w:lang w:eastAsia="cs-CZ"/>
        </w:rPr>
        <w:t>Zhotoviteľ je povinný vo faktúre uviesť aj nesledovné údaje:</w:t>
      </w:r>
    </w:p>
    <w:p w14:paraId="36ACC236">
      <w:pPr>
        <w:pStyle w:val="18"/>
        <w:numPr>
          <w:ilvl w:val="0"/>
          <w:numId w:val="11"/>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1CA3597A">
      <w:pPr>
        <w:pStyle w:val="18"/>
        <w:numPr>
          <w:ilvl w:val="0"/>
          <w:numId w:val="11"/>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Názov projektu: Rýchle energetické opatrenia za účelom zvýšenia energetickej efektívnosti SOŠ obchodu a služieb Rimavská Sobota </w:t>
      </w:r>
    </w:p>
    <w:p w14:paraId="18D56414">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Lehota splatnosti faktúry je </w:t>
      </w:r>
      <w:r>
        <w:rPr>
          <w:rFonts w:asciiTheme="minorHAnsi" w:hAnsiTheme="minorHAnsi" w:cstheme="minorHAnsi"/>
          <w:b/>
          <w:bCs/>
          <w:highlight w:val="yellow"/>
        </w:rPr>
        <w:t>60 dní</w:t>
      </w:r>
      <w:r>
        <w:rPr>
          <w:rFonts w:asciiTheme="minorHAnsi" w:hAnsiTheme="minorHAnsi"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47F4E836">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V prípade vrátenia faktúry objednávateľom podľa predchádzajúcej vety začne lehota splatnosti faktúry plynúť až dňom, v ktorom bude objednávateľovi doručená riadne doplnená/opravená faktúra.  </w:t>
      </w:r>
    </w:p>
    <w:p w14:paraId="5A623884">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Úhrada peňažného záväzku objednávateľa uhradiť cenu za riadne a včas vykonané dielo v zmysle Zmluvy sa uskutoční formou bezhotovostného platobného styku, a to na bankový účet zhotoviteľa uvednený v záhlaví tejto Zmluvy. </w:t>
      </w:r>
      <w:bookmarkEnd w:id="3"/>
      <w:bookmarkEnd w:id="4"/>
      <w:bookmarkEnd w:id="5"/>
      <w:bookmarkEnd w:id="6"/>
      <w:r>
        <w:rPr>
          <w:rFonts w:asciiTheme="minorHAnsi" w:hAnsiTheme="minorHAnsi" w:cstheme="minorHAnsi"/>
          <w:lang w:eastAsia="cs-CZ"/>
        </w:rPr>
        <w:t>Faktúra sa považuje za uhradenú dňom pripísania úhrady na bankový účet zhotoviteľa</w:t>
      </w:r>
      <w:r>
        <w:rPr>
          <w:rFonts w:asciiTheme="minorHAnsi" w:hAnsiTheme="minorHAnsi" w:cstheme="minorHAnsi"/>
        </w:rPr>
        <w:t xml:space="preserve"> uvednený v záhlaví tejto Zmluvy</w:t>
      </w:r>
      <w:r>
        <w:rPr>
          <w:rFonts w:asciiTheme="minorHAnsi" w:hAnsiTheme="minorHAnsi" w:cstheme="minorHAnsi"/>
          <w:lang w:eastAsia="cs-CZ"/>
        </w:rPr>
        <w:t>. Ak však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bude dlžná suma skutočne pripísaná na účet zhotoviteľa.</w:t>
      </w:r>
    </w:p>
    <w:p w14:paraId="051F01D0">
      <w:pPr>
        <w:pStyle w:val="20"/>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z omeškania podľa § 369 ods. 2 Obchodného zákonníka.</w:t>
      </w:r>
    </w:p>
    <w:p w14:paraId="13BD973A">
      <w:pPr>
        <w:pStyle w:val="21"/>
        <w:rPr>
          <w:rFonts w:asciiTheme="minorHAnsi" w:hAnsiTheme="minorHAnsi" w:cstheme="minorHAnsi"/>
          <w:b/>
          <w:bCs/>
          <w:color w:val="auto"/>
          <w:sz w:val="22"/>
          <w:szCs w:val="22"/>
        </w:rPr>
      </w:pPr>
    </w:p>
    <w:p w14:paraId="2D71A3C2">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742DB601">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Objednávateľ sa zaväzuje, že k termínu odovzdania miesta realizácie diela poskytne zhotoviteľovi na prevzatie miesta realizácie diela v nevyhnutnom rozsahu potrebnú súčinnosť.</w:t>
      </w:r>
    </w:p>
    <w:p w14:paraId="3040242A">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miesta realizácie diela spíšu Zmluvné strany protokol o odovzdaní miesta realizácie diela, v ktorom objednávateľ uvedie osobu zodpovednú za stavebný dozor. Súčasťou protokolu o odovzdaní miesta realizácie diela budú všetky doklady a rozhodnutia, ktoré sú potrebné pre vykonanie diela. V protokole o odovzdaní miesta realizácie diela Zmluvné strany jednoznačne a nezameniteľne vymedzia rozsah odovzdávaného miesta realizácie diela; ak sa na mieste realizácie diela nachádzajú veci vo vlastníctve objednávateľa alebo v jeho správe, ktoré nebránia vykonávaniu diela, v protokole Zmluvné strany také veci a ich stav riadne označia, pričom zhotoviteľ zabezpečí a objednávateľovi odo dňa prevzatia miesta realizácie zhotoviteľom uvedenému v protokole zodpovedá za škodu na takýchto veciach, za ich stratu, odcudzenie aj zničenie. Ak má zhotoviteľ za to, že veci podľa predchádzajúcej vety bránia riadnej alebo včasnej realizácii diela, je povinný najneskôr pred začatím prác podľa čl. IV ods. 1 bod 1.2 Zmluvy vyzvať objednávateľa na ich vypratanie alebo vhodné zabezpečenie; v prípade zabezpečovacích prác poskytne zhotoviteľ objednávateľovi všetku potrebnú súčinnosť. </w:t>
      </w:r>
    </w:p>
    <w:p w14:paraId="27B82A90">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miesta realizácie diela zhotoviteľovi nie je zhotoviteľ v omeškaní s plnením svojho záväzku, a to o počet dní omeškania objednávateľa s odovzdaním miesta realizácie diela.</w:t>
      </w:r>
    </w:p>
    <w:p w14:paraId="401AD028">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Odo dňa odovzdania miesta realizácie diela v plnom rozsahu zodpovedá za miesto realizácie zhotoviteľ.</w:t>
      </w:r>
    </w:p>
    <w:p w14:paraId="452819C0">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miesto realizácie diela na vlastné náklady označiť spôsobom zodpovedajúcim  všeobecne záväzným právnym predpisom SR. </w:t>
      </w:r>
    </w:p>
    <w:p w14:paraId="2E70C586">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mieste realizácie diela, za správne uskladnenie materiálov a konštrukcií a za prípadné znečistenie komunikácií, ktoré bude používať pri vykonávaní diela a okolia miesta realizácie. Zhotoviteľ sa zaväzuje v súlade s príslušnými právnymi predpismi a odsekom 19 tohto článku Zmluvy na svoje náklady nepretržite a bez meškania odstraňovať odpad, ktorý je výsledkom jeho činnosti pri vykonávaní diela. Zhotoviteľ sa zaväzuje zabezpečiť, aby bolo počas prác na diele v čo najväčšej možnej miere zabránené hluku, vibráciám, prašnosti a prípadným účinkom emisných škodlivín na mieste realizácie diela aj mimo neho.</w:t>
      </w:r>
    </w:p>
    <w:p w14:paraId="3756794D">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mieste realizácie diela a je povinný zabezpečiť na vlastné náklady ich vybavenie ochrannými pomôckami v súlade s príslušnými právnymi predpismi.</w:t>
      </w:r>
    </w:p>
    <w:p w14:paraId="3E466123">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zamestnancami a dodávateľmi zhotoviteľa. </w:t>
      </w:r>
    </w:p>
    <w:p w14:paraId="7169E05E">
      <w:pPr>
        <w:pStyle w:val="21"/>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technológie a dodávky iných subdodávateľov a preskúšať jeho, resp. ich úplnosť, vlastnosti a použiteľnosť a funkčnosť (prevádzkyschopnosť). Za prípadné nedostatky týchto materiálov, technológií a dodávok v celom rozsahu zodpovedá zhotoviteľ.</w:t>
      </w:r>
    </w:p>
    <w:p w14:paraId="10D4648B">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0E2F24C4">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objednávateľ. </w:t>
      </w:r>
    </w:p>
    <w:p w14:paraId="1F2D2C3D">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Pr>
          <w:rFonts w:asciiTheme="minorHAnsi" w:hAnsiTheme="minorHAnsi" w:cstheme="minorHAnsi"/>
          <w:highlight w:val="yellow"/>
        </w:rPr>
        <w:t>.......................................</w:t>
      </w:r>
      <w:r>
        <w:rPr>
          <w:rFonts w:asciiTheme="minorHAnsi" w:hAnsiTheme="minorHAnsi" w:cstheme="minorHAnsi"/>
        </w:rPr>
        <w:t xml:space="preserve"> .</w:t>
      </w:r>
    </w:p>
    <w:p w14:paraId="623A19E7">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Pr>
          <w:rFonts w:asciiTheme="minorHAnsi" w:hAnsiTheme="minorHAnsi" w:cstheme="minorHAnsi"/>
          <w:highlight w:val="yellow"/>
        </w:rPr>
        <w:t>................</w:t>
      </w:r>
    </w:p>
    <w:p w14:paraId="0D9DD077">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Zmeny odsúhlaseného výkazu výmer je zhotoviteľ oprávnený vykonať iba na základe záväzného stanoviska objednávateľa a stavebného dozoru objednávateľa a to tak, aby tieto zmeny nemali vplyv na cenu diela. </w:t>
      </w:r>
    </w:p>
    <w:p w14:paraId="3093CD1B">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stavebný dozor objednávateľa minimálne raz za 14 dní, resp. podľa osobitnej požiadavky objednávateľa. Zhotoviteľ je povinný zúčastňovať sa koordinačných porád, pokiaľ budú objednávateľom organizované. </w:t>
      </w:r>
    </w:p>
    <w:p w14:paraId="5681B1D9">
      <w:pPr>
        <w:pStyle w:val="20"/>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3 Zmluvy, v časti „Realizácia stavby“. </w:t>
      </w:r>
    </w:p>
    <w:p w14:paraId="0F6B2AFE">
      <w:pPr>
        <w:pStyle w:val="20"/>
        <w:numPr>
          <w:ilvl w:val="0"/>
          <w:numId w:val="12"/>
        </w:numPr>
        <w:tabs>
          <w:tab w:val="left" w:pos="426"/>
        </w:tabs>
        <w:ind w:left="284" w:hanging="284"/>
        <w:contextualSpacing/>
        <w:jc w:val="both"/>
        <w:rPr>
          <w:rFonts w:asciiTheme="minorHAnsi" w:hAnsiTheme="minorHAnsi" w:cstheme="minorHAnsi"/>
        </w:rPr>
      </w:pPr>
      <w:r>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Zhotoviteľ sa 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 </w:t>
      </w:r>
    </w:p>
    <w:p w14:paraId="12185EE2">
      <w:pPr>
        <w:pStyle w:val="20"/>
        <w:numPr>
          <w:ilvl w:val="0"/>
          <w:numId w:val="12"/>
        </w:numPr>
        <w:tabs>
          <w:tab w:val="left" w:pos="426"/>
        </w:tabs>
        <w:ind w:left="284" w:hanging="284"/>
        <w:contextualSpacing/>
        <w:jc w:val="both"/>
        <w:rPr>
          <w:rFonts w:asciiTheme="minorHAnsi" w:hAnsiTheme="minorHAnsi" w:eastAsiaTheme="minorHAnsi" w:cstheme="minorHAnsi"/>
          <w:color w:val="000000"/>
          <w:lang w:eastAsia="en-US"/>
        </w:rPr>
      </w:pPr>
      <w:r>
        <w:rPr>
          <w:rFonts w:asciiTheme="minorHAnsi" w:hAnsiTheme="minorHAnsi" w:eastAsiaTheme="minorHAnsi" w:cstheme="minorHAnsi"/>
          <w:color w:val="000000"/>
          <w:lang w:eastAsia="en-US"/>
        </w:rPr>
        <w:t>V súvislosti s plnením povinností podľa Zmluvy sa zároveň zhotoviteľ zaväzuje dodržiavať nasledovné podmienky:</w:t>
      </w:r>
    </w:p>
    <w:p w14:paraId="3ADEC622">
      <w:pPr>
        <w:pStyle w:val="20"/>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Pr>
          <w:rFonts w:asciiTheme="minorHAnsi" w:hAnsiTheme="minorHAnsi" w:cstheme="minorHAnsi"/>
          <w:bCs/>
        </w:rPr>
        <w:t>Nariadenia Európskeho parlamentu a Rady (EÚ) 2020/852 z 18. júna 2020 o vytvorení rámca na uľahčenie udržateľných investícií a o zmene nariadenia (EÚ) 2019/2088</w:t>
      </w:r>
      <w:r>
        <w:rPr>
          <w:rFonts w:asciiTheme="minorHAnsi" w:hAnsiTheme="minorHAnsi" w:cstheme="minorHAnsi"/>
        </w:rPr>
        <w:t xml:space="preserve">. Keďže objednávateľ očakáva, že bude dodanie diela financované na základe </w:t>
      </w:r>
      <w:r>
        <w:rPr>
          <w:rFonts w:asciiTheme="minorHAnsi" w:hAnsiTheme="minorHAnsi" w:cstheme="minorHAnsi"/>
          <w:color w:val="000000"/>
        </w:rPr>
        <w:t>zmluvy o PPM</w:t>
      </w:r>
      <w:r>
        <w:rPr>
          <w:rFonts w:asciiTheme="minorHAnsi" w:hAnsiTheme="minorHAnsi" w:cstheme="minorHAnsi"/>
        </w:rPr>
        <w:t xml:space="preserve"> uzatvorenej medzi objednávateľom a poskytovateľom PM na základe výzvy vyhlásenej </w:t>
      </w:r>
      <w:r>
        <w:rPr>
          <w:rFonts w:asciiTheme="minorHAnsi" w:hAnsiTheme="minorHAnsi" w:cstheme="minorHAnsi"/>
          <w:color w:val="000000" w:themeColor="text1"/>
          <w14:textFill>
            <w14:solidFill>
              <w14:schemeClr w14:val="tx1"/>
            </w14:solidFill>
          </w14:textFill>
        </w:rPr>
        <w:t>Ministerstvom hospodárstva Slovenskej republiky</w:t>
      </w:r>
      <w:r>
        <w:rPr>
          <w:rFonts w:asciiTheme="minorHAnsi" w:hAnsiTheme="minorHAnsi" w:cstheme="minorHAnsi"/>
        </w:rPr>
        <w:t xml:space="preserve"> </w:t>
      </w:r>
      <w:r>
        <w:rPr>
          <w:rFonts w:asciiTheme="minorHAnsi" w:hAnsiTheme="minorHAnsi" w:cstheme="minorHAnsi"/>
          <w:color w:val="000000"/>
        </w:rPr>
        <w:t>s kódom 19I02-26-V01 (ďalej len ako „</w:t>
      </w:r>
      <w:r>
        <w:rPr>
          <w:rFonts w:asciiTheme="minorHAnsi" w:hAnsiTheme="minorHAnsi" w:cstheme="minorHAnsi"/>
          <w:b/>
          <w:bCs/>
          <w:color w:val="000000"/>
        </w:rPr>
        <w:t>výzva</w:t>
      </w:r>
      <w:r>
        <w:rPr>
          <w:rFonts w:asciiTheme="minorHAnsi" w:hAnsiTheme="minorHAnsi" w:cstheme="minorHAnsi"/>
          <w:color w:val="000000"/>
        </w:rPr>
        <w:t>“)</w:t>
      </w:r>
      <w:r>
        <w:rPr>
          <w:rFonts w:asciiTheme="minorHAnsi" w:hAnsiTheme="minorHAnsi" w:cstheme="minorHAnsi"/>
        </w:rPr>
        <w:t xml:space="preserve">, zhotoviteľ vykoná dielo tak, aby bolo objednávateľovi dodané v súlade s podmienkou výzvy spočívajúcou v implementácii zásady „nespôsobovať významnú škodu“ podľa prílohy č. 4 výzvy. </w:t>
      </w:r>
      <w:r>
        <w:rPr>
          <w:rFonts w:asciiTheme="minorHAnsi" w:hAnsiTheme="minorHAnsi" w:cstheme="minorHAnsi"/>
          <w:color w:val="000000"/>
        </w:rPr>
        <w:t xml:space="preserve">Aktuálne znenie výzvy ku dňu podpisu tejto Zmluvy je zverejnené na internetovej adrese: </w:t>
      </w:r>
      <w:r>
        <w:fldChar w:fldCharType="begin"/>
      </w:r>
      <w:r>
        <w:instrText xml:space="preserve"> HYPERLINK "https://www.siea.sk/podporne-programy/rychle_energeticke_opatrenia/" </w:instrText>
      </w:r>
      <w:r>
        <w:fldChar w:fldCharType="separate"/>
      </w:r>
      <w:r>
        <w:rPr>
          <w:rStyle w:val="12"/>
          <w:rFonts w:asciiTheme="minorHAnsi" w:hAnsiTheme="minorHAnsi" w:cstheme="minorHAnsi"/>
        </w:rPr>
        <w:t>https://www.siea.sk/podporne-programy/rychle_energeticke_opatrenia/</w:t>
      </w:r>
      <w:r>
        <w:rPr>
          <w:rStyle w:val="12"/>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color w:val="000000"/>
        </w:rPr>
        <w:t xml:space="preserve">. </w:t>
      </w:r>
    </w:p>
    <w:p w14:paraId="0F63E4EA">
      <w:pPr>
        <w:pStyle w:val="20"/>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cstheme="minorHAnsi"/>
        </w:rPr>
        <w:t>Zhotoviteľ je oboznámený s tým, že poskytovateľ PM je oprávnený počas trvania tejto Zmluvy podmienky výzvy aktualizovať. Za tým účelom berie zhotoviteľ na vedomie a výslovne súhlasí, že v prípade aktualizácie podmienok výzvy bude zhotoviteľ pri vykonávaní diela zohľadňovať aktualizované podmienky výzvy a dielo dodá objednávateľovi tak, aby bolo súladné s podmienkami výzvy platnými ku dňu dodania diela. V prípade, ak poskytovateľ PM podmienky výzvy zaktualizuje po dni dodania diela, zhotoviteľ na základe výzvy objednávateľa dielo upraví aj po jeho dodaní tak, aby bolo dielo súladné s takto aktualizovanými podmienkami výzvy, pričom takáto úprava diela nebude na účely Zmluvy považovaná za naviac práce a odmena za takúto úpravu diela je vopred zahrnutá v cene za dielo.</w:t>
      </w:r>
    </w:p>
    <w:p w14:paraId="0FD757F8">
      <w:pPr>
        <w:pStyle w:val="20"/>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eastAsiaTheme="minorHAnsi" w:cstheme="minorHAnsi"/>
          <w:color w:val="000000"/>
          <w:lang w:eastAsia="en-US"/>
        </w:rPr>
        <w:t xml:space="preserve">Zhotoviteľ zodpovedá za dočasné prekrytie strechy počas vykonávania diela tak, aby nedošlo k poškodeniu vnútorných priestorov budovy. V prípade poškodenia vnútorných priestorov budovy, napríklad zatečením, je zhotoviteľ povinný uviesť poškodené priestory do pôvodného stavu, a to na vlastné náklady. </w:t>
      </w:r>
    </w:p>
    <w:p w14:paraId="11F144A6">
      <w:pPr>
        <w:autoSpaceDE w:val="0"/>
        <w:autoSpaceDN w:val="0"/>
        <w:adjustRightInd w:val="0"/>
        <w:spacing w:after="0" w:line="240" w:lineRule="auto"/>
        <w:rPr>
          <w:rFonts w:ascii="Calibri" w:hAnsi="Calibri" w:cs="Calibri"/>
          <w:b/>
          <w:color w:val="000000"/>
        </w:rPr>
      </w:pPr>
    </w:p>
    <w:p w14:paraId="28AD8BCB">
      <w:pPr>
        <w:pStyle w:val="20"/>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pPr>
        <w:pStyle w:val="20"/>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a zastavenie prác</w:t>
      </w:r>
    </w:p>
    <w:p w14:paraId="25AADD56">
      <w:pPr>
        <w:pStyle w:val="20"/>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je povinný upozorniť objednávateľa na skutočnosti, ktoré môžu mať za následok prerušenie prác na diele. </w:t>
      </w:r>
    </w:p>
    <w:p w14:paraId="7BA76422">
      <w:pPr>
        <w:pStyle w:val="20"/>
        <w:numPr>
          <w:ilvl w:val="0"/>
          <w:numId w:val="14"/>
        </w:numPr>
        <w:ind w:left="284" w:hanging="284"/>
        <w:jc w:val="both"/>
        <w:rPr>
          <w:rFonts w:ascii="Calibri" w:hAnsi="Calibri" w:cs="Calibri"/>
        </w:rPr>
      </w:pPr>
      <w:r>
        <w:rPr>
          <w:rFonts w:ascii="Calibri" w:hAnsi="Calibri" w:cs="Calibri"/>
        </w:rPr>
        <w:t xml:space="preserve">Zhotoviteľ je povinný prerušiť práce na diele vždy, ak by pokračovanie v prácach spôsobilo z dôvodov nepospočívajúcich na strane zhotoviteľa na majetku objednávateľa alebo tretích osôb škodu alebo by bolo ohrozené zdravie a bezpečnosť pri práci, alebo by vznikla  ťažko odstrániteľná ujma na majetku, alebo by bol vážne ohrozený verejný záujem. O tom je povinný objednávateľa bezodkladne písomne vyrozumieť, pričom je povinný objednávateľa informovať aj o dôvodoch prerušenia prác. Práce na diele podľa tohto odseku tohto článku Zmluvy je zhotoviteľ oprávnený prerušiť iba v nevyhnutnom rozsahu, ktorý preukázateľne bezprostredne súvisí s dôvodom prerušenia prác, a aj počas doby prerušenia prác je inak povinný vynaložiť maximálne úsilie na to, aby nebolo inak ohrozené včasné vykonanie diela. </w:t>
      </w:r>
    </w:p>
    <w:p w14:paraId="443758B2">
      <w:pPr>
        <w:pStyle w:val="20"/>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inej než podľa odseku 2 tohto článku Zmluvy, ktorá môže brániť alebo sťažiť  včasné alebo riadne vykonanie diela. </w:t>
      </w:r>
    </w:p>
    <w:p w14:paraId="0D4496C4">
      <w:pPr>
        <w:pStyle w:val="20"/>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Objednávateľ je oprávnený písomným oznámením doručeným zhotoviteľovi zastaviť vykonávanie diela podľa tejto Zmluvy. Doručením oznámenia o zastavení realizácie je zhotoviteľ povinný zastaviť akékoľvek práce na realizácii diela s výnimkou prác, bez vykonania ktorých hrozí vznik bezprostrednej škody na diele alebo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pPr>
        <w:pStyle w:val="20"/>
        <w:numPr>
          <w:ilvl w:val="0"/>
          <w:numId w:val="14"/>
        </w:numPr>
        <w:ind w:left="284" w:hanging="284"/>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pPr>
        <w:pStyle w:val="20"/>
        <w:tabs>
          <w:tab w:val="left" w:pos="426"/>
        </w:tabs>
        <w:ind w:left="284"/>
        <w:jc w:val="both"/>
        <w:rPr>
          <w:rFonts w:asciiTheme="minorHAnsi" w:hAnsiTheme="minorHAnsi" w:cstheme="minorHAnsi"/>
        </w:rPr>
      </w:pPr>
    </w:p>
    <w:p w14:paraId="5AB10157">
      <w:pPr>
        <w:pStyle w:val="18"/>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pPr>
        <w:pStyle w:val="18"/>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Zmeny Zmluvy</w:t>
      </w:r>
    </w:p>
    <w:p w14:paraId="18E7B6ED">
      <w:pPr>
        <w:pStyle w:val="20"/>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ich záväz</w:t>
      </w:r>
      <w:r>
        <w:rPr>
          <w:rFonts w:asciiTheme="minorHAnsi" w:hAnsiTheme="minorHAnsi" w:cstheme="minorHAnsi"/>
          <w:lang w:eastAsia="cs-CZ"/>
        </w:rPr>
        <w:softHyphen/>
      </w:r>
      <w:r>
        <w:rPr>
          <w:rFonts w:asciiTheme="minorHAnsi" w:hAnsiTheme="minorHAnsi" w:cstheme="minorHAnsi"/>
          <w:lang w:eastAsia="cs-CZ"/>
        </w:rPr>
        <w:t>ku/ov v prípadoch, ak sa po uzavretí Zmluvy zmenia východiskové podklady rozhodujúce pre uzatvorenie Zmluvy alebo vzniknú nové požiadavky objednávateľa súvisiace s rozsahom diela podľa tejto Zmluvy (t. j. naviac práce) alebo nastanú iné skutočnosti nezávislé od vôle Zmluvných strán (vis maior), v dôsledku ktorých bude nevyhnutné upraviť práva a povinnosti Zmluvných strán dohodnuté v tejto Zmluve za účelom naplnenia účelu Zmluvy. K takejto zmene môže dôjsť iba na základe písomného dodatku k Zmluve a iba pokiaľ jeho uzatvorenie nebude v rozpore so ZVO.</w:t>
      </w:r>
    </w:p>
    <w:p w14:paraId="414304C9">
      <w:pPr>
        <w:pStyle w:val="20"/>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rPr>
        <w:t>Naviac práce predstavujú nové práce vyžadované objednávateľom nad rámec dojednaný v Zmluve, t. j. nad rámec prác potrebných na uskutočnenie diela v zmysle Zmluvy</w:t>
      </w:r>
      <w:r>
        <w:rPr>
          <w:rFonts w:asciiTheme="minorHAnsi" w:hAnsiTheme="minorHAnsi" w:cstheme="minorHAnsi"/>
          <w:lang w:eastAsia="cs-CZ"/>
        </w:rPr>
        <w:t>.</w:t>
      </w:r>
    </w:p>
    <w:p w14:paraId="5BD31F7B">
      <w:pPr>
        <w:pStyle w:val="20"/>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color w:val="000000"/>
        </w:rPr>
        <w:t>Naviac práce je možné vykonávať iba na základe postupov upravených všeobecne záväznými právnymi predpismi (najmä, nie však výlučne ZVO) a súčasne tak iba na základe vopred zmluvnými stranami podpísaných dodatkov k tejto Zmluve. Všetky prípadné naviac práce budú riadne vyjadrené v aktualizácii prílohy č. 1 k Zmluve v neoddeliteľnej prílohe k dodatku k tejto Zmluve, ktorého predmetom bude dohoda zmluvných strán o prácach naviac. Takýto dodatok sú Zmluvné strany povinné uzatvoriť vopred, t. j. ešte pred tým, ako dôjde k realizácii naviac prác, v opačnom prípade nesie náklady na naviac práce zhotoviteľ.</w:t>
      </w:r>
    </w:p>
    <w:p w14:paraId="4D6B85D4">
      <w:pPr>
        <w:pStyle w:val="20"/>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rPr>
        <w:t>Vykonané naviac práce, pôvodne nezahrnuté v  prílohe č. 1 k Zmluve,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súvisiace s vykonaním diela podľa tejto Zmluvy.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pPr>
        <w:pStyle w:val="20"/>
        <w:widowControl w:val="0"/>
        <w:numPr>
          <w:ilvl w:val="0"/>
          <w:numId w:val="15"/>
        </w:numPr>
        <w:tabs>
          <w:tab w:val="left" w:pos="284"/>
          <w:tab w:val="left" w:pos="7088"/>
        </w:tabs>
        <w:ind w:left="284" w:hanging="284"/>
        <w:jc w:val="both"/>
        <w:rPr>
          <w:rFonts w:asciiTheme="minorHAnsi" w:hAnsiTheme="minorHAnsi" w:cstheme="minorHAnsi"/>
          <w:lang w:eastAsia="cs-CZ"/>
        </w:rPr>
      </w:pPr>
      <w:r>
        <w:rPr>
          <w:rFonts w:asciiTheme="minorHAnsi" w:hAnsiTheme="minorHAnsi" w:cstheme="minorHAnsi"/>
          <w:lang w:eastAsia="cs-CZ"/>
        </w:rPr>
        <w:t xml:space="preserve">Zmluvné strany sa výslovne dohodli, že na zmenu akýchkoľvek údajov Zmluvných strán iných než je IČO zhotoviteľa týkajúcich sa Zmluvných strán uvedených v záhlaví Zmluvy (ak ich dôsledkom nebude zmena v osobe dotknutej Zmluvnej strany) alebo oprávnených osôb alebo ich údajov uvedených v záhlaví Zmluvy, postačuje jednostranné písomné oznámenie doručené druhej Zmluvnej strane a takáto zmena nevyžaduje prijatie dodatku k Zmluve; účinky takejto zmeny nastanú dňom doručenia oznámenia druhej Zmluvnej strane. </w:t>
      </w:r>
    </w:p>
    <w:p w14:paraId="7239624B">
      <w:pPr>
        <w:pStyle w:val="21"/>
        <w:rPr>
          <w:rFonts w:asciiTheme="minorHAnsi" w:hAnsiTheme="minorHAnsi" w:cstheme="minorHAnsi"/>
          <w:b/>
          <w:bCs/>
          <w:color w:val="auto"/>
          <w:sz w:val="22"/>
          <w:szCs w:val="22"/>
        </w:rPr>
      </w:pPr>
    </w:p>
    <w:p w14:paraId="7895E9A7">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2A31A3EE">
      <w:pPr>
        <w:pStyle w:val="21"/>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Odovzdanie a prevzatie diela</w:t>
      </w:r>
    </w:p>
    <w:p w14:paraId="4D6AA977">
      <w:pPr>
        <w:pStyle w:val="20"/>
        <w:numPr>
          <w:ilvl w:val="0"/>
          <w:numId w:val="16"/>
        </w:numPr>
        <w:tabs>
          <w:tab w:val="left" w:pos="426"/>
        </w:tabs>
        <w:autoSpaceDE w:val="0"/>
        <w:autoSpaceDN w:val="0"/>
        <w:adjustRightInd w:val="0"/>
        <w:ind w:left="284" w:hanging="284"/>
        <w:jc w:val="both"/>
        <w:rPr>
          <w:rStyle w:val="22"/>
          <w:rFonts w:asciiTheme="minorHAnsi" w:hAnsiTheme="minorHAnsi" w:cstheme="minorHAnsi"/>
          <w:sz w:val="22"/>
          <w:szCs w:val="22"/>
        </w:rPr>
      </w:pPr>
      <w:r>
        <w:rPr>
          <w:rStyle w:val="22"/>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271B7BD9">
      <w:pPr>
        <w:pStyle w:val="20"/>
        <w:numPr>
          <w:ilvl w:val="0"/>
          <w:numId w:val="16"/>
        </w:numPr>
        <w:tabs>
          <w:tab w:val="left" w:pos="426"/>
        </w:tabs>
        <w:autoSpaceDE w:val="0"/>
        <w:autoSpaceDN w:val="0"/>
        <w:adjustRightInd w:val="0"/>
        <w:ind w:left="284" w:hanging="284"/>
        <w:jc w:val="both"/>
        <w:rPr>
          <w:rFonts w:asciiTheme="minorHAnsi" w:hAnsiTheme="minorHAnsi" w:cstheme="minorHAnsi"/>
          <w:shd w:val="clear" w:color="auto" w:fill="FFFFFF"/>
        </w:rPr>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Zmluvné strany dohodnú časový postup preberacieho konania. </w:t>
      </w:r>
    </w:p>
    <w:p w14:paraId="7BC3280F">
      <w:pPr>
        <w:pStyle w:val="20"/>
        <w:numPr>
          <w:ilvl w:val="0"/>
          <w:numId w:val="16"/>
        </w:numPr>
        <w:tabs>
          <w:tab w:val="left" w:pos="426"/>
        </w:tabs>
        <w:autoSpaceDE w:val="0"/>
        <w:autoSpaceDN w:val="0"/>
        <w:adjustRightInd w:val="0"/>
        <w:ind w:left="284" w:hanging="284"/>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zoznam zariadení (vybavenia) spolu s certifikátmi o kvalite platnými v SR a návodmi na použitie,</w:t>
      </w:r>
    </w:p>
    <w:p w14:paraId="755CF458">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 xml:space="preserve">doklady a atesty od zabudovaných materiálov a technologických zariadení, </w:t>
      </w:r>
    </w:p>
    <w:p w14:paraId="20A87EFD">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certifikáty výrobkov, ktoré podliehajú certifikačnej povinnosti, certifikáty o kvalite použitých materiálov a konštrukcií, vyhlásenia o zhode konštrukčných materiálov, potvrdené záručné listy, ak takéto pri zhotovení diela použije,</w:t>
      </w:r>
    </w:p>
    <w:p w14:paraId="71F6F2C7">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doklady o vykonaní predpísaných skúšok diela alebo jeho častí, revízne správy, prevádzkové predpisy na obsluhu diela alebo jeho častí,</w:t>
      </w:r>
    </w:p>
    <w:p w14:paraId="059EE014">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ďalšie doklady, ktoré sa vzťahujú na dielo podľa príslušných všeobecne záväzných právnych predpisov a technických noriem a na realizáciu práv a povinností súvisiacich s vykonaním diela podľa tejto Zmluvy,</w:t>
      </w:r>
    </w:p>
    <w:p w14:paraId="5DB62558">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doklady o uložení prebytočného materiálu zo stavby na oficiálnu skládku,</w:t>
      </w:r>
    </w:p>
    <w:p w14:paraId="3F7BC53C">
      <w:pPr>
        <w:pStyle w:val="20"/>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 xml:space="preserve">dokumentácia priebehu realizácie diela časovo a chronologicky jednoznačne označené (fotografie, videozáznamy). </w:t>
      </w:r>
    </w:p>
    <w:p w14:paraId="23DB216D">
      <w:pPr>
        <w:pStyle w:val="7"/>
        <w:spacing w:after="0"/>
        <w:ind w:firstLine="284"/>
        <w:jc w:val="both"/>
        <w:rPr>
          <w:rFonts w:cstheme="minorHAnsi"/>
          <w:sz w:val="22"/>
          <w:szCs w:val="22"/>
        </w:rPr>
      </w:pPr>
      <w:r>
        <w:rPr>
          <w:rFonts w:cstheme="minorHAnsi"/>
          <w:sz w:val="22"/>
          <w:szCs w:val="22"/>
        </w:rPr>
        <w:t>Absencia niektorého z dokladov je dôvodom na nezačatie preberacieho konania.</w:t>
      </w:r>
    </w:p>
    <w:p w14:paraId="4D8B9A7E">
      <w:pPr>
        <w:pStyle w:val="7"/>
        <w:spacing w:after="0"/>
        <w:ind w:left="284"/>
        <w:jc w:val="both"/>
        <w:rPr>
          <w:rFonts w:cstheme="minorHAnsi"/>
          <w:sz w:val="22"/>
          <w:szCs w:val="22"/>
        </w:rPr>
      </w:pPr>
      <w:r>
        <w:rPr>
          <w:rFonts w:cstheme="minorHAnsi"/>
          <w:sz w:val="22"/>
          <w:szCs w:val="22"/>
        </w:rPr>
        <w:t xml:space="preserve">V prípade odovzdania dokladov uvedených v bode 3.1. až 3.7. v elektronickej forme, je zhotoviteľ povinný odovzdať doklady v editovateľnej aj needitovateľnej forme. </w:t>
      </w:r>
    </w:p>
    <w:p w14:paraId="5F0B06ED">
      <w:pPr>
        <w:pStyle w:val="7"/>
        <w:numPr>
          <w:ilvl w:val="0"/>
          <w:numId w:val="16"/>
        </w:numPr>
        <w:spacing w:after="0"/>
        <w:ind w:left="284" w:hanging="284"/>
        <w:jc w:val="both"/>
        <w:rPr>
          <w:rStyle w:val="22"/>
          <w:rFonts w:asciiTheme="minorHAnsi" w:hAnsiTheme="minorHAnsi" w:cstheme="minorHAnsi"/>
          <w:sz w:val="22"/>
          <w:szCs w:val="22"/>
          <w:shd w:val="clear" w:color="auto" w:fill="auto"/>
        </w:rPr>
      </w:pPr>
      <w:r>
        <w:rPr>
          <w:rStyle w:val="22"/>
          <w:rFonts w:asciiTheme="minorHAnsi" w:hAnsiTheme="minorHAnsi" w:cstheme="minorHAnsi"/>
          <w:sz w:val="22"/>
          <w:szCs w:val="22"/>
        </w:rPr>
        <w:t xml:space="preserve">Objednávateľ si vyhradzuje právo neprevziať dielo, ktoré má vady a nedorobky, alebo ak zhotoviteľ nedoložil všetky doklady uvedené v odseku 3. tohto článku. </w:t>
      </w:r>
    </w:p>
    <w:p w14:paraId="551FF461">
      <w:pPr>
        <w:pStyle w:val="7"/>
        <w:numPr>
          <w:ilvl w:val="0"/>
          <w:numId w:val="16"/>
        </w:numPr>
        <w:spacing w:after="0"/>
        <w:ind w:left="284" w:hanging="284"/>
        <w:jc w:val="both"/>
        <w:rPr>
          <w:rFonts w:cstheme="minorHAnsi"/>
          <w:sz w:val="22"/>
          <w:szCs w:val="22"/>
        </w:rPr>
      </w:pPr>
      <w:r>
        <w:rPr>
          <w:rFonts w:cstheme="minorHAnsi"/>
          <w:sz w:val="22"/>
          <w:szCs w:val="22"/>
        </w:rPr>
        <w:t xml:space="preserve">O </w:t>
      </w:r>
      <w:r>
        <w:rPr>
          <w:rStyle w:val="22"/>
          <w:rFonts w:asciiTheme="minorHAnsi" w:hAnsiTheme="minorHAnsi" w:cstheme="minorHAnsi"/>
          <w:sz w:val="22"/>
          <w:szCs w:val="22"/>
        </w:rPr>
        <w:t>odovzdaní</w:t>
      </w:r>
      <w:r>
        <w:rPr>
          <w:rFonts w:cstheme="minorHAnsi"/>
          <w:sz w:val="22"/>
          <w:szCs w:val="22"/>
        </w:rPr>
        <w:t xml:space="preserve"> a prevzatí diela vyhotovia Zmluvné strany protokol. </w:t>
      </w:r>
      <w:r>
        <w:rPr>
          <w:rFonts w:cstheme="minorHAnsi"/>
          <w:b/>
          <w:sz w:val="22"/>
          <w:szCs w:val="22"/>
        </w:rPr>
        <w:t>Protokol o odovzdaní a prevzatí diela</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Ak objednávateľ dielo alebo jeho časť nepreberie, bude súčasťou protokolu o odovzdaní a prevzatí diela uvedenie dôvodov, pre ktoré dielo alebo jeho časť neprebral. </w:t>
      </w:r>
    </w:p>
    <w:p w14:paraId="7757F628">
      <w:pPr>
        <w:pStyle w:val="7"/>
        <w:numPr>
          <w:ilvl w:val="0"/>
          <w:numId w:val="16"/>
        </w:numPr>
        <w:spacing w:after="0"/>
        <w:ind w:left="284" w:hanging="284"/>
        <w:jc w:val="both"/>
        <w:rPr>
          <w:rFonts w:cstheme="minorHAnsi"/>
          <w:sz w:val="22"/>
          <w:szCs w:val="22"/>
        </w:rPr>
      </w:pPr>
      <w:r>
        <w:rPr>
          <w:rFonts w:cstheme="minorHAnsi"/>
          <w:sz w:val="22"/>
          <w:szCs w:val="22"/>
        </w:rPr>
        <w:t xml:space="preserve">Ak </w:t>
      </w:r>
      <w:r>
        <w:rPr>
          <w:rStyle w:val="22"/>
          <w:rFonts w:asciiTheme="minorHAnsi" w:hAnsiTheme="minorHAnsi" w:cstheme="minorHAnsi"/>
          <w:sz w:val="22"/>
          <w:szCs w:val="22"/>
        </w:rPr>
        <w:t>dielo</w:t>
      </w:r>
      <w:r>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pPr>
        <w:pStyle w:val="7"/>
        <w:numPr>
          <w:ilvl w:val="0"/>
          <w:numId w:val="16"/>
        </w:numPr>
        <w:spacing w:after="0"/>
        <w:ind w:left="284" w:hanging="284"/>
        <w:jc w:val="both"/>
        <w:rPr>
          <w:rFonts w:cstheme="minorHAnsi"/>
          <w:sz w:val="22"/>
          <w:szCs w:val="22"/>
        </w:rPr>
      </w:pPr>
      <w:r>
        <w:rPr>
          <w:rFonts w:cstheme="minorHAnsi"/>
          <w:sz w:val="22"/>
          <w:szCs w:val="22"/>
        </w:rPr>
        <w:t>Zhotoviteľ je pri preberacom konaní povinný zabezpečiť miesto realizácie diela tak, aby objednávateľ mohol vykonané dielo riadne prevziať a užívať. Miesto realizácie diela je zhotoviteľ povinný úplne vypratať do 2 dní odo dňa protokolárneho prebratia diela, ibaže sa Zmluvné strany dohodnú na ponechaní zariadení a technológií nutných na odstránenie prípadných reklamovaných vád a nedorobkov; takéto ponechané zariadenia a technológie vyprace zhotoviteľ najneskôr do 2 dní odo dňa potvrdenia zo strany objednávateľa osvedčujúceho riadne vybavenie reklamovaných vád a nedorobkov.</w:t>
      </w:r>
    </w:p>
    <w:p w14:paraId="02BD927A">
      <w:pPr>
        <w:pStyle w:val="7"/>
        <w:numPr>
          <w:ilvl w:val="0"/>
          <w:numId w:val="16"/>
        </w:numPr>
        <w:spacing w:after="0"/>
        <w:ind w:left="284" w:hanging="284"/>
        <w:jc w:val="both"/>
        <w:rPr>
          <w:rFonts w:cstheme="minorHAnsi"/>
          <w:sz w:val="22"/>
          <w:szCs w:val="22"/>
        </w:rPr>
      </w:pPr>
      <w:r>
        <w:rPr>
          <w:rFonts w:cstheme="minorHAnsi"/>
          <w:sz w:val="22"/>
          <w:szCs w:val="22"/>
        </w:rPr>
        <w:t xml:space="preserve">Objednávateľ je </w:t>
      </w:r>
      <w:r>
        <w:rPr>
          <w:rStyle w:val="22"/>
          <w:rFonts w:asciiTheme="minorHAnsi" w:hAnsiTheme="minorHAnsi" w:cstheme="minorHAnsi"/>
          <w:sz w:val="22"/>
          <w:szCs w:val="22"/>
        </w:rPr>
        <w:t>oprávnený</w:t>
      </w:r>
      <w:r>
        <w:rPr>
          <w:rFonts w:cstheme="minorHAnsi"/>
          <w:sz w:val="22"/>
          <w:szCs w:val="22"/>
        </w:rPr>
        <w:t xml:space="preserve"> odmietnuť prevzatie diela v prípade, ak dielo nie je vykonané v súlade so zmluvnými podmienkami alebo má závažné vady a nedorobky, a to až do ich odstránenia. </w:t>
      </w:r>
    </w:p>
    <w:p w14:paraId="2D36632D">
      <w:pPr>
        <w:pStyle w:val="7"/>
        <w:numPr>
          <w:ilvl w:val="0"/>
          <w:numId w:val="16"/>
        </w:numPr>
        <w:spacing w:after="0"/>
        <w:ind w:left="284" w:hanging="284"/>
        <w:jc w:val="both"/>
        <w:rPr>
          <w:sz w:val="22"/>
          <w:szCs w:val="22"/>
        </w:rPr>
      </w:pPr>
      <w:r>
        <w:rPr>
          <w:sz w:val="22"/>
          <w:szCs w:val="22"/>
        </w:rPr>
        <w:t xml:space="preserve">Riadnym </w:t>
      </w:r>
      <w:r>
        <w:rPr>
          <w:rStyle w:val="22"/>
          <w:rFonts w:asciiTheme="minorHAnsi" w:hAnsiTheme="minorHAnsi" w:cstheme="minorBidi"/>
          <w:sz w:val="22"/>
          <w:szCs w:val="22"/>
        </w:rPr>
        <w:t>odovzdaním</w:t>
      </w:r>
      <w:r>
        <w:rPr>
          <w:sz w:val="22"/>
          <w:szCs w:val="22"/>
        </w:rPr>
        <w:t xml:space="preserve"> diela (príslušnej časti diela), tzn. okamihom podpisu oprávnenej osoby konajúcej za objednávateľa a stavebným dozorom objednávateľa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pPr>
        <w:pStyle w:val="21"/>
        <w:jc w:val="center"/>
        <w:rPr>
          <w:rFonts w:asciiTheme="minorHAnsi" w:hAnsiTheme="minorHAnsi" w:cstheme="minorHAnsi"/>
          <w:b/>
          <w:bCs/>
          <w:color w:val="auto"/>
          <w:sz w:val="22"/>
          <w:szCs w:val="22"/>
        </w:rPr>
      </w:pPr>
    </w:p>
    <w:p w14:paraId="3D1E3F50">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0E0C35DD">
      <w:pPr>
        <w:pStyle w:val="21"/>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Zodpovednosť za vady </w:t>
      </w:r>
    </w:p>
    <w:p w14:paraId="16121CD1">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vydaných príslušných povolení a všeobecne záväzných právnych predpisov účinných na území Slovenskej republiky. </w:t>
      </w:r>
    </w:p>
    <w:p w14:paraId="715593D3">
      <w:pPr>
        <w:pStyle w:val="21"/>
        <w:numPr>
          <w:ilvl w:val="0"/>
          <w:numId w:val="17"/>
        </w:numPr>
        <w:tabs>
          <w:tab w:val="left" w:pos="426"/>
        </w:tabs>
        <w:ind w:left="284" w:hanging="284"/>
        <w:jc w:val="both"/>
        <w:rPr>
          <w:rStyle w:val="26"/>
          <w:rFonts w:asciiTheme="minorHAnsi" w:hAnsiTheme="minorHAnsi" w:cstheme="minorHAnsi"/>
          <w:color w:val="auto"/>
          <w:sz w:val="22"/>
          <w:szCs w:val="22"/>
          <w:shd w:val="clear" w:color="auto" w:fill="auto"/>
        </w:rPr>
      </w:pPr>
      <w:r>
        <w:rPr>
          <w:rStyle w:val="30"/>
          <w:rFonts w:asciiTheme="minorHAnsi" w:hAnsiTheme="minorHAnsi" w:cstheme="minorHAnsi"/>
          <w:sz w:val="22"/>
          <w:szCs w:val="22"/>
        </w:rPr>
        <w:t xml:space="preserve">Dielo má </w:t>
      </w:r>
      <w:r>
        <w:rPr>
          <w:rStyle w:val="30"/>
          <w:rFonts w:asciiTheme="minorHAnsi" w:hAnsiTheme="minorHAnsi" w:cstheme="minorHAnsi"/>
          <w:sz w:val="22"/>
          <w:szCs w:val="22"/>
          <w:lang w:val="cs-CZ" w:eastAsia="cs-CZ"/>
        </w:rPr>
        <w:t xml:space="preserve">vady, </w:t>
      </w:r>
      <w:r>
        <w:rPr>
          <w:rStyle w:val="30"/>
          <w:rFonts w:asciiTheme="minorHAnsi" w:hAnsiTheme="minorHAnsi" w:cstheme="minorHAnsi"/>
          <w:sz w:val="22"/>
          <w:szCs w:val="22"/>
        </w:rPr>
        <w:t xml:space="preserve">ak dielo alebo jeho ktorákoľvek časť, </w:t>
      </w:r>
      <w:r>
        <w:rPr>
          <w:rStyle w:val="28"/>
          <w:rFonts w:asciiTheme="minorHAnsi" w:hAnsiTheme="minorHAnsi" w:cstheme="minorHAnsi"/>
          <w:sz w:val="22"/>
          <w:szCs w:val="22"/>
        </w:rPr>
        <w:t xml:space="preserve">nezodpovedá </w:t>
      </w:r>
      <w:r>
        <w:rPr>
          <w:rStyle w:val="28"/>
          <w:rFonts w:asciiTheme="minorHAnsi" w:hAnsiTheme="minorHAnsi" w:cstheme="minorHAnsi"/>
          <w:b/>
          <w:bCs/>
          <w:sz w:val="22"/>
          <w:szCs w:val="22"/>
        </w:rPr>
        <w:t>r</w:t>
      </w:r>
      <w:r>
        <w:rPr>
          <w:rStyle w:val="26"/>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 protokole o odovzdaní a prevzatí diela.</w:t>
      </w:r>
    </w:p>
    <w:p w14:paraId="1EFB1445">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zistené po odovzdaní diela, ak boli spôsobené porušením jeho povinnosti.</w:t>
      </w:r>
    </w:p>
    <w:p w14:paraId="7E93DE9E">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zhotoviteľovi oznámiť vadu (ďalej len ako </w:t>
      </w:r>
      <w:r>
        <w:rPr>
          <w:rFonts w:asciiTheme="minorHAnsi" w:hAnsiTheme="minorHAnsi" w:cstheme="minorHAnsi"/>
          <w:b/>
          <w:bCs/>
          <w:color w:val="auto"/>
          <w:sz w:val="22"/>
          <w:szCs w:val="22"/>
        </w:rPr>
        <w:t>„reklamácia“</w:t>
      </w:r>
      <w:r>
        <w:rPr>
          <w:rFonts w:asciiTheme="minorHAnsi" w:hAnsiTheme="minorHAnsi" w:cstheme="minorHAnsi"/>
          <w:color w:val="auto"/>
          <w:sz w:val="22"/>
          <w:szCs w:val="22"/>
        </w:rPr>
        <w:t>) bezodkladne po jej zistení. Zhotoviteľ je povinný do troch pracovných dní odo dňa doručenia reklamácie podľa tohto odseku tohto článku Zmluvy vyjadriť sa k oprávnenosti, resp. neoprávnenosti reklamácie a svoje rozhodnutie bezodkladne oznámiť objednávateľovi.</w:t>
      </w:r>
    </w:p>
    <w:p w14:paraId="5459FE97">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rPr>
        <w:t>Počas plynutia záručnej doby sa zhotoviteľ zaväzuje vady označené v reklamácii objednávateľa bezplatne odstrániť do 10 dní odo dňa doručenia reklamácie, ak sa Zmluvné strany písomne nedohodnú inak. Ak zhotoviteľ oznámené (reklamované) vady neodstráni v lehote podľa tohto odseku tohto článku Zmluvy, je objednávateľ oprávnený dať ich odstrániť tretej osobe na náklady zhotoviteľa a zhotoviteľ je povinný objednávateľovi takto vynaložené náklady uhradiť bez meškania, najneskôr v lehote uvedenej v písomnej výzve objednávateľa na úhradu takto vynaložených nákladov.</w:t>
      </w:r>
    </w:p>
    <w:p w14:paraId="7EFBF740">
      <w:pPr>
        <w:pStyle w:val="21"/>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6DE3FF15">
      <w:pPr>
        <w:pStyle w:val="21"/>
        <w:numPr>
          <w:ilvl w:val="0"/>
          <w:numId w:val="17"/>
        </w:numPr>
        <w:tabs>
          <w:tab w:val="left" w:pos="426"/>
        </w:tabs>
        <w:ind w:left="284" w:hanging="284"/>
        <w:jc w:val="both"/>
        <w:rPr>
          <w:rStyle w:val="30"/>
          <w:rFonts w:asciiTheme="minorHAnsi" w:hAnsiTheme="minorHAnsi" w:cstheme="minorHAnsi"/>
          <w:b/>
          <w:bCs/>
          <w:color w:val="auto"/>
          <w:sz w:val="22"/>
          <w:szCs w:val="22"/>
        </w:rPr>
      </w:pPr>
      <w:r>
        <w:rPr>
          <w:rStyle w:val="30"/>
          <w:rFonts w:asciiTheme="minorHAnsi" w:hAnsiTheme="minorHAnsi" w:cstheme="minorHAnsi"/>
          <w:sz w:val="22"/>
          <w:szCs w:val="22"/>
          <w:lang w:val="cs-CZ" w:eastAsia="cs-CZ"/>
        </w:rPr>
        <w:t xml:space="preserve">Zhotovitel’ </w:t>
      </w:r>
      <w:r>
        <w:rPr>
          <w:rStyle w:val="30"/>
          <w:rFonts w:asciiTheme="minorHAnsi" w:hAnsiTheme="minorHAnsi" w:cstheme="minorHAnsi"/>
          <w:sz w:val="22"/>
          <w:szCs w:val="22"/>
        </w:rPr>
        <w:t xml:space="preserve">nezodpovedá za </w:t>
      </w:r>
      <w:r>
        <w:rPr>
          <w:rStyle w:val="30"/>
          <w:rFonts w:asciiTheme="minorHAnsi" w:hAnsiTheme="minorHAnsi" w:cstheme="minorHAnsi"/>
          <w:sz w:val="22"/>
          <w:szCs w:val="22"/>
          <w:lang w:val="cs-CZ" w:eastAsia="cs-CZ"/>
        </w:rPr>
        <w:t xml:space="preserve">vady, </w:t>
      </w:r>
      <w:r>
        <w:rPr>
          <w:rStyle w:val="30"/>
          <w:rFonts w:asciiTheme="minorHAnsi" w:hAnsiTheme="minorHAnsi" w:cstheme="minorHAnsi"/>
          <w:sz w:val="22"/>
          <w:szCs w:val="22"/>
        </w:rPr>
        <w:t>ktoré boli spôsobené použitím podkladov prevzatých od objednávateľa alebo pokynov od objednávateľa a:</w:t>
      </w:r>
    </w:p>
    <w:p w14:paraId="5EBDBAE5">
      <w:pPr>
        <w:pStyle w:val="18"/>
        <w:numPr>
          <w:ilvl w:val="0"/>
          <w:numId w:val="18"/>
        </w:numPr>
        <w:ind w:left="709" w:hanging="284"/>
        <w:jc w:val="both"/>
        <w:rPr>
          <w:rStyle w:val="30"/>
          <w:rFonts w:asciiTheme="minorHAnsi" w:hAnsiTheme="minorHAnsi" w:cstheme="minorHAnsi"/>
          <w:sz w:val="22"/>
          <w:szCs w:val="22"/>
        </w:rPr>
      </w:pPr>
      <w:r>
        <w:rPr>
          <w:rStyle w:val="30"/>
          <w:rFonts w:asciiTheme="minorHAnsi" w:hAnsiTheme="minorHAnsi" w:cstheme="minorHAnsi"/>
          <w:sz w:val="22"/>
          <w:szCs w:val="22"/>
          <w:lang w:val="cs-CZ" w:eastAsia="cs-CZ"/>
        </w:rPr>
        <w:t xml:space="preserve">ak zhotovitel’ </w:t>
      </w:r>
      <w:r>
        <w:rPr>
          <w:rStyle w:val="30"/>
          <w:rFonts w:asciiTheme="minorHAnsi" w:hAnsiTheme="minorHAnsi" w:cstheme="minorHAnsi"/>
          <w:sz w:val="22"/>
          <w:szCs w:val="22"/>
        </w:rPr>
        <w:t>ani pri vynaložení všetkej odbornej starostlivosti a úsilia nemohol zistiť ich nevhodnosť alebo</w:t>
      </w:r>
    </w:p>
    <w:p w14:paraId="009C5BFD">
      <w:pPr>
        <w:pStyle w:val="18"/>
        <w:numPr>
          <w:ilvl w:val="0"/>
          <w:numId w:val="18"/>
        </w:numPr>
        <w:ind w:left="709" w:hanging="284"/>
        <w:jc w:val="both"/>
        <w:rPr>
          <w:rStyle w:val="30"/>
          <w:rFonts w:asciiTheme="minorHAnsi" w:hAnsiTheme="minorHAnsi" w:cstheme="minorHAnsi"/>
          <w:sz w:val="22"/>
          <w:szCs w:val="22"/>
        </w:rPr>
      </w:pPr>
      <w:r>
        <w:rPr>
          <w:rStyle w:val="30"/>
          <w:rFonts w:asciiTheme="minorHAnsi" w:hAnsiTheme="minorHAnsi" w:cstheme="minorHAnsi"/>
          <w:sz w:val="22"/>
          <w:szCs w:val="22"/>
        </w:rPr>
        <w:t>ak na ich nevhodnosť preukázateľne písomne objednávateľa upozornil a objednávateľ na ich použití napriek tomu trval.</w:t>
      </w:r>
    </w:p>
    <w:p w14:paraId="0403A328">
      <w:pPr>
        <w:pStyle w:val="18"/>
        <w:numPr>
          <w:ilvl w:val="0"/>
          <w:numId w:val="17"/>
        </w:numPr>
        <w:tabs>
          <w:tab w:val="left" w:pos="426"/>
        </w:tabs>
        <w:ind w:left="284" w:hanging="284"/>
        <w:jc w:val="both"/>
        <w:rPr>
          <w:rStyle w:val="30"/>
          <w:rFonts w:asciiTheme="minorHAnsi" w:hAnsiTheme="minorHAnsi" w:cstheme="minorHAnsi"/>
          <w:sz w:val="22"/>
          <w:szCs w:val="22"/>
        </w:rPr>
      </w:pPr>
      <w:r>
        <w:rPr>
          <w:rStyle w:val="30"/>
          <w:rFonts w:asciiTheme="minorHAnsi" w:hAnsiTheme="minorHAnsi" w:cstheme="minorHAnsi"/>
          <w:sz w:val="22"/>
          <w:szCs w:val="22"/>
        </w:rPr>
        <w:t>Ostatné nároky zo zodpovednosti zhotoviteľa za akosť, množstvo a kvalitu diela sa uplatnia v zmysle platných ustanovení o náhrade škody podľa zákona č. 513/1991 Zb. Obchodný zákonník v znení neskorších predpisov, ak nie je dohodnuté inak.</w:t>
      </w:r>
    </w:p>
    <w:p w14:paraId="39E60E89">
      <w:pPr>
        <w:pStyle w:val="18"/>
        <w:numPr>
          <w:ilvl w:val="0"/>
          <w:numId w:val="17"/>
        </w:numPr>
        <w:tabs>
          <w:tab w:val="left" w:pos="426"/>
        </w:tabs>
        <w:ind w:left="284" w:hanging="284"/>
        <w:jc w:val="both"/>
        <w:rPr>
          <w:rStyle w:val="30"/>
          <w:rFonts w:asciiTheme="minorHAnsi" w:hAnsiTheme="minorHAnsi" w:cstheme="minorHAnsi"/>
          <w:b/>
          <w:bCs/>
          <w:color w:val="auto"/>
          <w:sz w:val="22"/>
          <w:szCs w:val="22"/>
        </w:rPr>
      </w:pPr>
      <w:r>
        <w:rPr>
          <w:rStyle w:val="30"/>
          <w:rFonts w:asciiTheme="minorHAnsi" w:hAnsiTheme="minorHAnsi" w:cstheme="minorHAnsi"/>
          <w:sz w:val="22"/>
          <w:szCs w:val="22"/>
        </w:rPr>
        <w:t>Uplatnením nárokov z vád diela nie sú dotknuté nároky objednávateľa na zmluvnú pokutu, náhradu škody alebo na odstúpenie od Zmluvy.</w:t>
      </w:r>
      <w:r>
        <w:rPr>
          <w:rStyle w:val="30"/>
          <w:rFonts w:asciiTheme="minorHAnsi" w:hAnsiTheme="minorHAnsi" w:cstheme="minorHAnsi"/>
          <w:color w:val="auto"/>
          <w:sz w:val="22"/>
          <w:szCs w:val="22"/>
        </w:rPr>
        <w:t xml:space="preserve"> </w:t>
      </w:r>
      <w:bookmarkStart w:id="7" w:name="_Hlk117771663"/>
    </w:p>
    <w:p w14:paraId="033D96D7">
      <w:pPr>
        <w:pStyle w:val="18"/>
        <w:tabs>
          <w:tab w:val="left" w:pos="426"/>
        </w:tabs>
        <w:ind w:left="284"/>
        <w:jc w:val="both"/>
        <w:rPr>
          <w:rStyle w:val="30"/>
          <w:rFonts w:asciiTheme="minorHAnsi" w:hAnsiTheme="minorHAnsi" w:cstheme="minorHAnsi"/>
          <w:b/>
          <w:bCs/>
          <w:color w:val="auto"/>
          <w:sz w:val="22"/>
          <w:szCs w:val="22"/>
        </w:rPr>
      </w:pPr>
    </w:p>
    <w:p w14:paraId="6855E0D7">
      <w:pPr>
        <w:pStyle w:val="21"/>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pPr>
        <w:pStyle w:val="21"/>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p>
    <w:p w14:paraId="7F8F327B">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pPr>
        <w:pStyle w:val="21"/>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pPr>
        <w:pStyle w:val="21"/>
        <w:jc w:val="center"/>
        <w:rPr>
          <w:rFonts w:asciiTheme="minorHAnsi" w:hAnsiTheme="minorHAnsi" w:cstheme="minorHAnsi"/>
          <w:b/>
          <w:bCs/>
          <w:color w:val="auto"/>
          <w:sz w:val="22"/>
          <w:szCs w:val="22"/>
        </w:rPr>
      </w:pPr>
    </w:p>
    <w:p w14:paraId="74A588F7">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0D8466B9">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bookmarkEnd w:id="7"/>
    <w:p w14:paraId="2B658C84">
      <w:pPr>
        <w:pStyle w:val="21"/>
        <w:numPr>
          <w:ilvl w:val="0"/>
          <w:numId w:val="20"/>
        </w:numPr>
        <w:tabs>
          <w:tab w:val="left" w:pos="426"/>
        </w:tabs>
        <w:ind w:left="284" w:hanging="284"/>
        <w:jc w:val="both"/>
        <w:rPr>
          <w:rFonts w:asciiTheme="minorHAnsi" w:hAnsiTheme="minorHAnsi" w:cstheme="minorHAnsi"/>
          <w:bCs/>
          <w:color w:val="auto"/>
          <w:sz w:val="22"/>
          <w:szCs w:val="22"/>
        </w:rPr>
      </w:pPr>
      <w:bookmarkStart w:id="8" w:name="_Hlk117840708"/>
      <w:r>
        <w:rPr>
          <w:rFonts w:asciiTheme="minorHAnsi" w:hAnsiTheme="minorHAnsi" w:cstheme="minorHAnsi"/>
          <w:bCs/>
          <w:color w:val="auto"/>
          <w:sz w:val="22"/>
          <w:szCs w:val="22"/>
        </w:rPr>
        <w:t>Zmluvné strany sa dohodli na nasledovných zmluvných pokutách:</w:t>
      </w:r>
    </w:p>
    <w:p w14:paraId="04F071D2">
      <w:pPr>
        <w:pStyle w:val="21"/>
        <w:numPr>
          <w:ilvl w:val="1"/>
          <w:numId w:val="2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miesta realizácie diela od objednávateľa v lehote uvedenej vo výzve objednávateľa podľa čl. VII ods. 1 Zmluvy, objednávateľovi vzniká voči zhotoviteľovi nárok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174B3253">
      <w:pPr>
        <w:pStyle w:val="21"/>
        <w:numPr>
          <w:ilvl w:val="1"/>
          <w:numId w:val="2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realizácie diela v lehote podľa čl. IV ods. 1 bod  1.2 Zmluvy, objednávateľovi vzniká voči zhotoviteľovi nárok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59C39303">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dokončenia realizácie diela zhotoviteľom podľa čl. IV ods. 1 bod 1.3. Zmluvy vzniká objednávateľovi nárok voči zhotoviteľovi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747F1654">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neodstráni vady a/alebo nedorobky diela vyplývajúce z protokolu o odovzdaní a prevzatí diela v zmluvne dohodnutej lehote,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ak zhotoviteľ neodstráni vady a/alebo nedorobky diela po doručení reklamácie zhotoviteľovi v zmluvne dohodnutej lehote,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úhrady takýchto nákladov;</w:t>
      </w:r>
    </w:p>
    <w:p w14:paraId="1EB12C99">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zamestnancom zhotoviteľa a/alebo subdodávateľa, vzniká objednávateľovi nárok voči zhotoviteľovi na zmluvnú pokutu vo výške  </w:t>
      </w:r>
      <w:r>
        <w:rPr>
          <w:rFonts w:asciiTheme="minorHAnsi" w:hAnsiTheme="minorHAnsi" w:cstheme="minorHAnsi"/>
          <w:b/>
          <w:sz w:val="22"/>
          <w:szCs w:val="22"/>
        </w:rPr>
        <w:t xml:space="preserve">200,- Eur </w:t>
      </w:r>
      <w:r>
        <w:rPr>
          <w:rFonts w:asciiTheme="minorHAnsi" w:hAnsiTheme="minorHAnsi" w:cstheme="minorHAnsi"/>
          <w:sz w:val="22"/>
          <w:szCs w:val="22"/>
        </w:rPr>
        <w:t>za každé jednotlivé porušenie a za každý, čo i len začatý deň nesplnenia/porušenia povinnosti</w:t>
      </w:r>
      <w:r>
        <w:rPr>
          <w:rFonts w:asciiTheme="minorHAnsi" w:hAnsiTheme="minorHAnsi" w:cstheme="minorHAnsi"/>
          <w:color w:val="auto"/>
          <w:sz w:val="22"/>
          <w:szCs w:val="22"/>
        </w:rPr>
        <w:t>;</w:t>
      </w:r>
      <w:r>
        <w:rPr>
          <w:rFonts w:asciiTheme="minorHAnsi" w:hAnsiTheme="minorHAnsi" w:cstheme="minorHAnsi"/>
          <w:sz w:val="22"/>
          <w:szCs w:val="22"/>
        </w:rPr>
        <w:t xml:space="preserve"> </w:t>
      </w:r>
    </w:p>
    <w:p w14:paraId="291A3F89">
      <w:pPr>
        <w:pStyle w:val="21"/>
        <w:numPr>
          <w:ilvl w:val="1"/>
          <w:numId w:val="2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XII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7FC1D296">
      <w:pPr>
        <w:pStyle w:val="21"/>
        <w:numPr>
          <w:ilvl w:val="1"/>
          <w:numId w:val="2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20 Zmluvy vzniká objednávateľovi nárok voči zhotoviteľovi na zmluvnú pokutu vo výške </w:t>
      </w:r>
      <w:r>
        <w:rPr>
          <w:rFonts w:asciiTheme="minorHAnsi" w:hAnsiTheme="minorHAnsi" w:cstheme="minorHAnsi"/>
          <w:b/>
          <w:color w:val="auto"/>
          <w:sz w:val="22"/>
          <w:szCs w:val="22"/>
        </w:rPr>
        <w:t>1000,- Eur</w:t>
      </w:r>
      <w:r>
        <w:rPr>
          <w:rFonts w:asciiTheme="minorHAnsi" w:hAnsiTheme="minorHAnsi" w:cstheme="minorHAnsi"/>
          <w:color w:val="auto"/>
          <w:sz w:val="22"/>
          <w:szCs w:val="22"/>
        </w:rPr>
        <w:t xml:space="preserve"> za každé jednotlivé nesplnenie/porušenie povinnosti, a to aj opakovane; </w:t>
      </w:r>
    </w:p>
    <w:p w14:paraId="41A54CA1">
      <w:pPr>
        <w:pStyle w:val="21"/>
        <w:tabs>
          <w:tab w:val="left" w:pos="993"/>
        </w:tabs>
        <w:ind w:left="426"/>
        <w:jc w:val="both"/>
        <w:rPr>
          <w:rFonts w:asciiTheme="minorHAnsi" w:hAnsiTheme="minorHAnsi" w:cstheme="minorHAnsi"/>
          <w:color w:val="auto"/>
          <w:sz w:val="22"/>
          <w:szCs w:val="22"/>
        </w:rPr>
      </w:pPr>
    </w:p>
    <w:bookmarkEnd w:id="8"/>
    <w:p w14:paraId="13AD1F4A">
      <w:pPr>
        <w:pStyle w:val="18"/>
        <w:numPr>
          <w:ilvl w:val="0"/>
          <w:numId w:val="21"/>
        </w:numPr>
        <w:tabs>
          <w:tab w:val="left" w:pos="426"/>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Zmluvné strany vyhlasujú, že považujú dohodnuté výšky zmluvných pokút uvedených v čl. XIII tejto Zmluvy za primerané, pretože pri rokovaniach o dohode o výške týchto zmluvných pokút prihliadali na hodnotu a význam týmito zmluvnými pokutami zabezpečovaných zmluvných povinností zhotoviteľa. </w:t>
      </w:r>
    </w:p>
    <w:p w14:paraId="2B6AA08F">
      <w:pPr>
        <w:pStyle w:val="18"/>
        <w:numPr>
          <w:ilvl w:val="0"/>
          <w:numId w:val="21"/>
        </w:numPr>
        <w:tabs>
          <w:tab w:val="left" w:pos="426"/>
        </w:tabs>
        <w:ind w:left="284" w:hanging="284"/>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pPr>
        <w:pStyle w:val="21"/>
        <w:rPr>
          <w:rFonts w:asciiTheme="minorHAnsi" w:hAnsiTheme="minorHAnsi" w:cstheme="minorHAnsi"/>
          <w:color w:val="auto"/>
          <w:sz w:val="22"/>
          <w:szCs w:val="22"/>
        </w:rPr>
      </w:pPr>
    </w:p>
    <w:p w14:paraId="39D2DB25">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692DEDAF">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7A05BBD4">
      <w:pPr>
        <w:pStyle w:val="21"/>
        <w:numPr>
          <w:ilvl w:val="0"/>
          <w:numId w:val="22"/>
        </w:numPr>
        <w:tabs>
          <w:tab w:val="left" w:pos="284"/>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29296527">
      <w:pPr>
        <w:pStyle w:val="21"/>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Zmluvných strán vyplývajúcich z tejto Zmluvy, </w:t>
      </w:r>
    </w:p>
    <w:p w14:paraId="18EBB15A">
      <w:pPr>
        <w:pStyle w:val="21"/>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Zmluvných strán, a to ku dňu uvedenému v dohode alebo, ak v dohode nebude takýto deň uvedený, ku dňu účinnosti takejto dohody, </w:t>
      </w:r>
    </w:p>
    <w:p w14:paraId="5FDDB599">
      <w:pPr>
        <w:pStyle w:val="21"/>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z titulu jej podstatného porušenia zo strany zhotoviteľa, ak: </w:t>
      </w:r>
    </w:p>
    <w:p w14:paraId="0D58C71A">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miesto realizácie diela,</w:t>
      </w:r>
    </w:p>
    <w:p w14:paraId="0A97E60D">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vykonávať dielo,</w:t>
      </w:r>
    </w:p>
    <w:p w14:paraId="36A59B92">
      <w:pPr>
        <w:pStyle w:val="21"/>
        <w:numPr>
          <w:ilvl w:val="2"/>
          <w:numId w:val="23"/>
        </w:numPr>
        <w:jc w:val="both"/>
        <w:rPr>
          <w:rFonts w:asciiTheme="minorHAnsi" w:hAnsiTheme="minorHAnsi" w:cstheme="minorHAnsi"/>
          <w:color w:val="auto"/>
          <w:sz w:val="22"/>
          <w:szCs w:val="22"/>
        </w:rPr>
      </w:pPr>
      <w:bookmarkStart w:id="9" w:name="_Hlk117771783"/>
      <w:r>
        <w:rPr>
          <w:rFonts w:asciiTheme="minorHAnsi" w:hAnsiTheme="minorHAnsi" w:cstheme="minorHAnsi"/>
          <w:sz w:val="22"/>
          <w:szCs w:val="22"/>
        </w:rPr>
        <w:t>zhotoviteľ nezačne s realizáciou diela podľa čl. IV ods. 1 bod 1.2. Zmluvy,</w:t>
      </w:r>
    </w:p>
    <w:bookmarkEnd w:id="9"/>
    <w:p w14:paraId="524D7678">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dokončením realizácie diela podľa čl. IV ods. 1 bod 1.3 Zmluvy o viac ako 30 kalendárnych dní, </w:t>
      </w:r>
    </w:p>
    <w:p w14:paraId="7D984418">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pokračuje vo vadnom plnení/vykonávaní diela, </w:t>
      </w:r>
    </w:p>
    <w:p w14:paraId="2C6B7F6B">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v lehote určenej na odstránenie vady diela vadu diela neodstránil,</w:t>
      </w:r>
    </w:p>
    <w:p w14:paraId="4F5DDD66">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07C01470">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60BDF526">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pPr>
        <w:pStyle w:val="21"/>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ktorékoľvek vyhlásenie zhotoviteľa uvedené v tejto Zmluve bude nepravdivé ku dňu uzatvorenia Zmluvy alebo sa takým stane počas vykonávania diela.</w:t>
      </w:r>
    </w:p>
    <w:p w14:paraId="5F46F842">
      <w:pPr>
        <w:pStyle w:val="21"/>
        <w:numPr>
          <w:ilvl w:val="1"/>
          <w:numId w:val="22"/>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30 dní. </w:t>
      </w:r>
    </w:p>
    <w:p w14:paraId="40AED85D">
      <w:pPr>
        <w:pStyle w:val="20"/>
        <w:widowControl w:val="0"/>
        <w:tabs>
          <w:tab w:val="left" w:pos="426"/>
        </w:tabs>
        <w:ind w:left="284" w:hanging="284"/>
        <w:jc w:val="both"/>
        <w:rPr>
          <w:rFonts w:asciiTheme="minorHAnsi" w:hAnsiTheme="minorHAnsi" w:cstheme="minorHAnsi"/>
        </w:rPr>
      </w:pPr>
      <w:r>
        <w:rPr>
          <w:rFonts w:asciiTheme="minorHAnsi" w:hAnsiTheme="minorHAnsi" w:cstheme="minorHAnsi"/>
        </w:rPr>
        <w:t xml:space="preserve">2. </w:t>
      </w:r>
      <w:r>
        <w:rPr>
          <w:rFonts w:asciiTheme="minorHAnsi" w:hAnsiTheme="minorHAnsi" w:cstheme="minorHAnsi"/>
        </w:rPr>
        <w:tab/>
      </w:r>
      <w:r>
        <w:rPr>
          <w:rFonts w:asciiTheme="minorHAnsi" w:hAnsiTheme="minorHAnsi" w:cstheme="minorHAnsi"/>
        </w:rPr>
        <w:t>Odstúpenie od Zmluvy nadobúda účinnosť dňom jeho doručenia druhej Zmluvnej strane a ak nie je v tejto Zmluve v jednotlivých prípadoch výslovne dohodnuté inak, rozumie sa, že Zmluva sa zrušuje od tohto dňa (ex nunc) a nie od jej počiatku.</w:t>
      </w:r>
    </w:p>
    <w:p w14:paraId="0EAF4034">
      <w:pPr>
        <w:pStyle w:val="20"/>
        <w:widowControl w:val="0"/>
        <w:tabs>
          <w:tab w:val="left" w:pos="426"/>
        </w:tabs>
        <w:ind w:left="284" w:hanging="284"/>
        <w:jc w:val="both"/>
        <w:rPr>
          <w:rFonts w:asciiTheme="minorHAnsi" w:hAnsiTheme="minorHAnsi" w:cstheme="minorHAnsi"/>
        </w:rPr>
      </w:pPr>
      <w:r>
        <w:rPr>
          <w:rFonts w:asciiTheme="minorHAnsi" w:hAnsiTheme="minorHAnsi" w:cstheme="minorHAnsi"/>
          <w:bCs/>
        </w:rPr>
        <w:t>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Odstúpením od Zmluvy zanikajú všetky práva a povinnosti Zmluvných strán okrem práv na náhradu spôsobenej škody a ušlého zisku, práv na zmluvné sankcie, iných práv a povinností vyplývajúcich z ustanovení tejto Zmluvy a všeobecne záväzných právnych predpisov o zodpovednosti za vady za tú časť diela, ktorá bola do dňa odstúpenia vykonaná, a iných práv a povinností, ktoré podľa dohody strán alebo podľa ich povahy majú trvať aj po zániku Zmluvy odstúpením. </w:t>
      </w:r>
    </w:p>
    <w:p w14:paraId="743ECB40">
      <w:pPr>
        <w:pStyle w:val="20"/>
        <w:widowControl w:val="0"/>
        <w:tabs>
          <w:tab w:val="left" w:pos="426"/>
        </w:tabs>
        <w:ind w:left="284" w:hanging="284"/>
        <w:jc w:val="both"/>
        <w:rPr>
          <w:rFonts w:asciiTheme="minorHAnsi" w:hAnsiTheme="minorHAnsi" w:cstheme="minorHAnsi"/>
        </w:rPr>
      </w:pPr>
      <w:r>
        <w:rPr>
          <w:rFonts w:asciiTheme="minorHAnsi" w:hAnsiTheme="minorHAnsi" w:cstheme="minorHAnsi"/>
          <w:bCs/>
        </w:rPr>
        <w:t>4.</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pPr>
        <w:pStyle w:val="20"/>
        <w:widowControl w:val="0"/>
        <w:tabs>
          <w:tab w:val="left" w:pos="426"/>
        </w:tabs>
        <w:ind w:left="284" w:hanging="284"/>
        <w:jc w:val="both"/>
        <w:rPr>
          <w:rFonts w:asciiTheme="minorHAnsi" w:hAnsiTheme="minorHAnsi" w:cstheme="minorHAnsi"/>
        </w:rPr>
      </w:pPr>
      <w:r>
        <w:rPr>
          <w:rFonts w:asciiTheme="minorHAnsi" w:hAnsiTheme="minorHAnsi" w:cstheme="minorHAnsi"/>
          <w:bCs/>
        </w:rPr>
        <w:t>5.</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pPr>
        <w:pStyle w:val="20"/>
        <w:widowControl w:val="0"/>
        <w:tabs>
          <w:tab w:val="left" w:pos="426"/>
        </w:tabs>
        <w:ind w:left="284" w:hanging="284"/>
        <w:jc w:val="both"/>
        <w:rPr>
          <w:rFonts w:asciiTheme="minorHAnsi" w:hAnsiTheme="minorHAnsi" w:cstheme="minorHAnsi"/>
        </w:rPr>
      </w:pPr>
      <w:r>
        <w:rPr>
          <w:rFonts w:asciiTheme="minorHAnsi" w:hAnsiTheme="minorHAnsi" w:cstheme="minorHAnsi"/>
          <w:bCs/>
        </w:rPr>
        <w:t>6.</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Ak dôjde k odstúpeniu od Zmluvy pre porušenie povinností zhotoviteľom, má objednávateľ nárok aj na náhradu nákladov, ktoré mu vznikli s obstaraním nového zhotoviteľa, ktorý dielo vykoná.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pPr>
        <w:pStyle w:val="20"/>
        <w:widowControl w:val="0"/>
        <w:tabs>
          <w:tab w:val="left" w:pos="426"/>
        </w:tabs>
        <w:ind w:left="284" w:hanging="284"/>
        <w:jc w:val="both"/>
        <w:rPr>
          <w:rFonts w:asciiTheme="minorHAnsi" w:hAnsiTheme="minorHAnsi" w:cstheme="minorHAnsi"/>
        </w:rPr>
      </w:pPr>
    </w:p>
    <w:p w14:paraId="35C7E0BF">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XV</w:t>
      </w:r>
    </w:p>
    <w:p w14:paraId="5005DDA5">
      <w:pPr>
        <w:pStyle w:val="21"/>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Záverečné ustanovenia </w:t>
      </w:r>
    </w:p>
    <w:p w14:paraId="10B3C42F">
      <w:pPr>
        <w:pStyle w:val="20"/>
        <w:numPr>
          <w:ilvl w:val="0"/>
          <w:numId w:val="24"/>
        </w:numPr>
        <w:ind w:left="284" w:hanging="284"/>
        <w:jc w:val="both"/>
        <w:rPr>
          <w:rFonts w:asciiTheme="minorHAnsi" w:hAnsiTheme="minorHAnsi" w:cstheme="minorHAnsi"/>
          <w:lang w:eastAsia="cs-CZ"/>
        </w:rPr>
      </w:pPr>
      <w:r>
        <w:rPr>
          <w:rFonts w:asciiTheme="minorHAnsi" w:hAnsiTheme="minorHAnsi" w:cstheme="minorHAnsi"/>
          <w:lang w:eastAsia="cs-CZ"/>
        </w:rPr>
        <w:t>Táto Zmluva nadobúda platnosť dňom jej podpisu obidvomi Zmluvnými stranami a účinnosť po splnení nasledovných kumulatívnych podmienok:</w:t>
      </w:r>
    </w:p>
    <w:p w14:paraId="5B79F732">
      <w:pPr>
        <w:pStyle w:val="20"/>
        <w:numPr>
          <w:ilvl w:val="0"/>
          <w:numId w:val="25"/>
        </w:numPr>
        <w:jc w:val="both"/>
        <w:rPr>
          <w:rFonts w:asciiTheme="minorHAnsi" w:hAnsiTheme="minorHAnsi" w:cstheme="minorHAnsi"/>
          <w:lang w:eastAsia="cs-CZ"/>
        </w:rPr>
      </w:pPr>
      <w:r>
        <w:rPr>
          <w:rFonts w:asciiTheme="minorHAnsi" w:hAnsiTheme="minorHAnsi" w:cstheme="minorHAnsi"/>
          <w:lang w:eastAsia="cs-CZ"/>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asciiTheme="minorHAnsi" w:hAnsiTheme="minorHAnsi" w:cstheme="minorHAnsi"/>
          <w:b/>
          <w:bCs/>
          <w:lang w:eastAsia="cs-CZ"/>
        </w:rPr>
        <w:t>Zákon o slobode informácií</w:t>
      </w:r>
      <w:r>
        <w:rPr>
          <w:rFonts w:asciiTheme="minorHAnsi" w:hAnsiTheme="minorHAnsi" w:cstheme="minorHAnsi"/>
          <w:lang w:eastAsia="cs-CZ"/>
        </w:rPr>
        <w:t>“);</w:t>
      </w:r>
    </w:p>
    <w:p w14:paraId="710D14E0">
      <w:pPr>
        <w:pStyle w:val="20"/>
        <w:numPr>
          <w:ilvl w:val="0"/>
          <w:numId w:val="25"/>
        </w:numPr>
        <w:jc w:val="both"/>
        <w:rPr>
          <w:rFonts w:asciiTheme="minorHAnsi" w:hAnsiTheme="minorHAnsi" w:cstheme="minorHAnsi"/>
          <w:lang w:eastAsia="cs-CZ"/>
        </w:rPr>
      </w:pPr>
      <w:r>
        <w:rPr>
          <w:rFonts w:asciiTheme="minorHAnsi" w:hAnsiTheme="minorHAnsi" w:cstheme="minorHAnsi"/>
          <w:lang w:eastAsia="cs-CZ"/>
        </w:rPr>
        <w:t>dňom doručenia oznámenia poskytovateľa PM o splnení podmienok poskytnutia prostriedkov mechanizmu objednávateľovi, vrátane potvrdenia vyčlenenia alokácie na poskytnutie prostriedkov mechanizmu na projekt špecifikovaný v bode 3 preambuly Zmluvy, alebo nadobudnutie účinnosti zmluvy o PPM, podľa toho, ktorá zo skutočností uvedených v tomto písm. b) nastane skôr.</w:t>
      </w:r>
    </w:p>
    <w:p w14:paraId="1D9BA609">
      <w:pPr>
        <w:pStyle w:val="21"/>
        <w:numPr>
          <w:ilvl w:val="0"/>
          <w:numId w:val="24"/>
        </w:numPr>
        <w:tabs>
          <w:tab w:val="left" w:pos="426"/>
        </w:tabs>
        <w:ind w:left="284" w:hanging="284"/>
        <w:jc w:val="both"/>
        <w:rPr>
          <w:rFonts w:asciiTheme="minorHAnsi" w:hAnsiTheme="minorHAnsi" w:cstheme="minorHAnsi"/>
        </w:rPr>
      </w:pPr>
      <w:r>
        <w:rPr>
          <w:rFonts w:asciiTheme="minorHAnsi" w:hAnsiTheme="minorHAnsi" w:cstheme="minorHAnsi"/>
          <w:color w:val="auto"/>
          <w:sz w:val="22"/>
          <w:szCs w:val="22"/>
        </w:rPr>
        <w:t xml:space="preserve">Na účely Zmluvy sa rozumie, že ak k nadobudnutiu účinnosti zmluvy o PPM nedôjde ani v lehote do 90 dní odo dňa zverejnenia Zmluvy v Centrálnom registri zmlúv, Zmluvné strany sa dohodli na rozväzovacej podmienke, podľa ktorej táto Zmluva zaniká. </w:t>
      </w:r>
    </w:p>
    <w:p w14:paraId="346EF371">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ZVO a ustanoveniami ostatných aplikovateľných právnych predpisov účinných na území Slovenskej republiky.</w:t>
      </w:r>
    </w:p>
    <w:p w14:paraId="440AF341">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 (ďalej ako „</w:t>
      </w:r>
      <w:r>
        <w:rPr>
          <w:rFonts w:asciiTheme="minorHAnsi" w:hAnsiTheme="minorHAnsi" w:cstheme="minorHAnsi"/>
          <w:b/>
          <w:bCs/>
          <w:color w:val="auto"/>
          <w:sz w:val="22"/>
          <w:szCs w:val="22"/>
        </w:rPr>
        <w:t>Zákon o RPVS</w:t>
      </w:r>
      <w:r>
        <w:rPr>
          <w:rFonts w:asciiTheme="minorHAnsi" w:hAnsiTheme="minorHAnsi" w:cstheme="minorHAnsi"/>
          <w:color w:val="auto"/>
          <w:sz w:val="22"/>
          <w:szCs w:val="22"/>
        </w:rPr>
        <w:t xml:space="preserve">“). Zhotoviteľ sa zaväzuje byť riadne zapísaný v registri partnerov verejného sektora po celú dobu trvania tejto Zmluvy, ak mu taká povinnosť vyplýva zo Zákona čo RPVS. </w:t>
      </w:r>
    </w:p>
    <w:p w14:paraId="256CE4C3">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Pokiaľ zhotoviteľ preukazuje splnenie podmienok účasti podľa § 34 zákona o verejnom obstarávaní inou osobou, je povinný plnenie, resp. jeho príslušnú časť touto treťou osobou aj realizovať.</w:t>
      </w:r>
    </w:p>
    <w:p w14:paraId="1A395B08">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objednávateľ je však oprávnený previesť práva a povinnosti (záväzky) zo Zmluvy ako celok alebo jednotlivo na osobu jeho zriaďovateľa.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5661262">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51DACE8B">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w:t>
      </w:r>
    </w:p>
    <w:p w14:paraId="654A0074">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40B1A582">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Neoddeliteľnými prílohami tejto Zmluvy sú nasledovné prílohy:</w:t>
      </w:r>
    </w:p>
    <w:p w14:paraId="4EE4D1FB">
      <w:pPr>
        <w:pStyle w:val="21"/>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b/>
      </w:r>
      <w:r>
        <w:rPr>
          <w:rFonts w:asciiTheme="minorHAnsi" w:hAnsiTheme="minorHAnsi" w:cstheme="minorHAnsi"/>
          <w:b/>
          <w:bCs/>
          <w:color w:val="auto"/>
          <w:sz w:val="22"/>
          <w:szCs w:val="22"/>
        </w:rPr>
        <w:t>Príloha č. 1:</w:t>
      </w:r>
      <w:r>
        <w:rPr>
          <w:rFonts w:asciiTheme="minorHAnsi" w:hAnsiTheme="minorHAnsi" w:cstheme="minorHAnsi"/>
          <w:color w:val="auto"/>
          <w:sz w:val="22"/>
          <w:szCs w:val="22"/>
        </w:rPr>
        <w:t xml:space="preserve"> Opis predmetu zákazky</w:t>
      </w:r>
      <w:r>
        <w:rPr>
          <w:rFonts w:asciiTheme="minorHAnsi" w:hAnsiTheme="minorHAnsi" w:cstheme="minorHAnsi"/>
          <w:color w:val="auto"/>
          <w:sz w:val="22"/>
          <w:szCs w:val="22"/>
        </w:rPr>
        <w:tab/>
      </w:r>
    </w:p>
    <w:p w14:paraId="5EEE2DB7">
      <w:pPr>
        <w:pStyle w:val="21"/>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Pr>
          <w:rFonts w:asciiTheme="minorHAnsi" w:hAnsiTheme="minorHAnsi" w:cstheme="minorHAnsi"/>
          <w:b/>
          <w:bCs/>
          <w:color w:val="auto"/>
          <w:sz w:val="22"/>
          <w:szCs w:val="22"/>
        </w:rPr>
        <w:t>Príloha č. 2</w:t>
      </w:r>
      <w:r>
        <w:rPr>
          <w:rFonts w:asciiTheme="minorHAnsi" w:hAnsiTheme="minorHAnsi" w:cstheme="minorHAnsi"/>
          <w:color w:val="auto"/>
          <w:sz w:val="22"/>
          <w:szCs w:val="22"/>
        </w:rPr>
        <w:t xml:space="preserve">: </w:t>
      </w:r>
      <w:r>
        <w:rPr>
          <w:rFonts w:asciiTheme="minorHAnsi" w:hAnsiTheme="minorHAnsi" w:cstheme="minorHAnsi"/>
          <w:sz w:val="22"/>
          <w:szCs w:val="22"/>
        </w:rPr>
        <w:t>Ocenený rozpočet/ocenený výkaz výmer zhotoviteľa</w:t>
      </w:r>
    </w:p>
    <w:p w14:paraId="7D026655">
      <w:pPr>
        <w:pStyle w:val="21"/>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Pr>
          <w:rFonts w:asciiTheme="minorHAnsi" w:hAnsiTheme="minorHAnsi" w:cstheme="minorBidi"/>
          <w:b/>
          <w:bCs/>
          <w:color w:val="auto"/>
          <w:sz w:val="22"/>
          <w:szCs w:val="22"/>
        </w:rPr>
        <w:t xml:space="preserve">Príloha č. 3: </w:t>
      </w:r>
      <w:r>
        <w:rPr>
          <w:rFonts w:asciiTheme="minorHAnsi" w:hAnsiTheme="minorHAnsi" w:cstheme="minorBidi"/>
          <w:color w:val="auto"/>
          <w:sz w:val="22"/>
          <w:szCs w:val="22"/>
        </w:rPr>
        <w:t>Politika nakladania so stavebnými odpadmi a odpadmi z demolácií</w:t>
      </w:r>
    </w:p>
    <w:p w14:paraId="7F9149A6">
      <w:pPr>
        <w:pStyle w:val="21"/>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Pr>
          <w:rFonts w:asciiTheme="minorHAnsi" w:hAnsiTheme="minorHAnsi" w:cstheme="minorHAnsi"/>
          <w:b/>
          <w:bCs/>
          <w:color w:val="auto"/>
          <w:sz w:val="22"/>
          <w:szCs w:val="22"/>
        </w:rPr>
        <w:t xml:space="preserve">Príloha č. 4: </w:t>
      </w:r>
      <w:r>
        <w:rPr>
          <w:rFonts w:asciiTheme="minorHAnsi" w:hAnsiTheme="minorHAnsi" w:cstheme="minorHAnsi"/>
          <w:color w:val="auto"/>
          <w:sz w:val="22"/>
          <w:szCs w:val="22"/>
        </w:rPr>
        <w:t>Zoznam subdodávateľov zhotoviteľa/čestné vyhlásenie zhotoviteľa, že na vykonanie   diela nebudú využití subdodávatelia</w:t>
      </w:r>
    </w:p>
    <w:p w14:paraId="2C9E05BA">
      <w:pPr>
        <w:pStyle w:val="21"/>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pPr>
        <w:pStyle w:val="21"/>
        <w:tabs>
          <w:tab w:val="left" w:pos="426"/>
        </w:tabs>
        <w:jc w:val="both"/>
        <w:rPr>
          <w:rFonts w:asciiTheme="minorHAnsi" w:hAnsiTheme="minorHAnsi" w:cstheme="minorHAnsi"/>
          <w:color w:val="auto"/>
          <w:sz w:val="22"/>
          <w:szCs w:val="22"/>
        </w:rPr>
      </w:pPr>
    </w:p>
    <w:p w14:paraId="47923354">
      <w:pPr>
        <w:rPr>
          <w:rFonts w:cs="Calibri"/>
          <w:lang w:eastAsia="cs-CZ"/>
        </w:rPr>
      </w:pPr>
      <w:r>
        <w:rPr>
          <w:rFonts w:cs="Calibri"/>
          <w:lang w:eastAsia="cs-CZ"/>
        </w:rPr>
        <w:t xml:space="preserve">V .......................  dňa:                           </w:t>
      </w:r>
      <w:r>
        <w:rPr>
          <w:rFonts w:cs="Calibri"/>
          <w:lang w:eastAsia="cs-CZ"/>
        </w:rPr>
        <w:tab/>
      </w:r>
      <w:r>
        <w:rPr>
          <w:rFonts w:cs="Calibri"/>
          <w:lang w:eastAsia="cs-CZ"/>
        </w:rPr>
        <w:t xml:space="preserve">   </w:t>
      </w:r>
      <w:r>
        <w:rPr>
          <w:rFonts w:cs="Calibri"/>
          <w:lang w:eastAsia="cs-CZ"/>
        </w:rPr>
        <w:tab/>
      </w:r>
      <w:r>
        <w:rPr>
          <w:rFonts w:cs="Calibri"/>
          <w:lang w:eastAsia="cs-CZ"/>
        </w:rPr>
        <w:tab/>
      </w:r>
      <w:r>
        <w:rPr>
          <w:rFonts w:cs="Calibri"/>
          <w:lang w:eastAsia="cs-CZ"/>
        </w:rPr>
        <w:tab/>
      </w:r>
      <w:r>
        <w:rPr>
          <w:rFonts w:cs="Calibri"/>
          <w:lang w:eastAsia="cs-CZ"/>
        </w:rPr>
        <w:t xml:space="preserve">V  .......................  dňa:   </w:t>
      </w:r>
    </w:p>
    <w:p w14:paraId="4EC7F52E">
      <w:pPr>
        <w:rPr>
          <w:rFonts w:cs="Calibri"/>
          <w:b/>
          <w:lang w:eastAsia="cs-CZ"/>
        </w:rPr>
      </w:pPr>
    </w:p>
    <w:p w14:paraId="6815D37B">
      <w:pPr>
        <w:rPr>
          <w:rFonts w:cs="Calibri"/>
          <w:lang w:eastAsia="cs-CZ"/>
        </w:rPr>
      </w:pPr>
      <w:r>
        <w:rPr>
          <w:rFonts w:cs="Calibri"/>
          <w:b/>
          <w:lang w:eastAsia="cs-CZ"/>
        </w:rPr>
        <w:t xml:space="preserve">Objednávateľ:                                                  </w:t>
      </w:r>
      <w:r>
        <w:rPr>
          <w:rFonts w:cs="Calibri"/>
          <w:b/>
          <w:lang w:eastAsia="cs-CZ"/>
        </w:rPr>
        <w:tab/>
      </w:r>
      <w:r>
        <w:rPr>
          <w:rFonts w:cs="Calibri"/>
          <w:b/>
          <w:lang w:eastAsia="cs-CZ"/>
        </w:rPr>
        <w:tab/>
      </w:r>
      <w:r>
        <w:rPr>
          <w:rFonts w:cs="Calibri"/>
          <w:b/>
          <w:lang w:eastAsia="cs-CZ"/>
        </w:rPr>
        <w:tab/>
      </w:r>
      <w:r>
        <w:rPr>
          <w:rFonts w:cs="Calibri"/>
          <w:b/>
          <w:lang w:eastAsia="cs-CZ"/>
        </w:rPr>
        <w:t>Zhotoviteľ:</w:t>
      </w:r>
    </w:p>
    <w:p w14:paraId="285EF37F">
      <w:pPr>
        <w:tabs>
          <w:tab w:val="left" w:pos="4500"/>
          <w:tab w:val="left" w:pos="4962"/>
        </w:tabs>
        <w:spacing w:after="120"/>
        <w:rPr>
          <w:rFonts w:cs="Calibri"/>
          <w:lang w:eastAsia="cs-CZ"/>
        </w:rPr>
      </w:pPr>
    </w:p>
    <w:p w14:paraId="5DB0127F">
      <w:pPr>
        <w:tabs>
          <w:tab w:val="left" w:pos="4500"/>
          <w:tab w:val="left" w:pos="4962"/>
        </w:tabs>
        <w:spacing w:after="120"/>
        <w:rPr>
          <w:rFonts w:cs="Calibri"/>
          <w:lang w:eastAsia="cs-CZ"/>
        </w:rPr>
      </w:pPr>
    </w:p>
    <w:p w14:paraId="46C2774A">
      <w:pPr>
        <w:tabs>
          <w:tab w:val="left" w:pos="4500"/>
          <w:tab w:val="left" w:pos="4962"/>
        </w:tabs>
        <w:spacing w:after="120"/>
        <w:rPr>
          <w:rFonts w:cs="Calibri"/>
          <w:lang w:eastAsia="cs-CZ"/>
        </w:rPr>
      </w:pPr>
    </w:p>
    <w:p w14:paraId="2D6733F7">
      <w:pPr>
        <w:tabs>
          <w:tab w:val="left" w:pos="4500"/>
          <w:tab w:val="left" w:pos="4962"/>
        </w:tabs>
        <w:rPr>
          <w:rFonts w:cs="Calibri"/>
        </w:rPr>
      </w:pPr>
      <w:r>
        <w:rPr>
          <w:rFonts w:cs="Calibri"/>
        </w:rPr>
        <w:t xml:space="preserve">.................................................                    </w:t>
      </w:r>
      <w:r>
        <w:rPr>
          <w:rFonts w:cs="Calibri"/>
        </w:rPr>
        <w:tab/>
      </w:r>
      <w:r>
        <w:rPr>
          <w:rFonts w:cs="Calibri"/>
        </w:rPr>
        <w:tab/>
      </w:r>
      <w:r>
        <w:rPr>
          <w:rFonts w:cs="Calibri"/>
        </w:rPr>
        <w:t xml:space="preserve">               .................................................</w:t>
      </w:r>
    </w:p>
    <w:p w14:paraId="6B415BA7">
      <w:pPr>
        <w:tabs>
          <w:tab w:val="left" w:pos="1134"/>
          <w:tab w:val="left" w:pos="6096"/>
        </w:tabs>
        <w:spacing w:after="0" w:line="245" w:lineRule="auto"/>
        <w:rPr>
          <w:rFonts w:ascii="Calibri" w:hAnsi="Calibri" w:cs="Calibri"/>
          <w:b/>
        </w:rPr>
      </w:pPr>
      <w:r>
        <w:rPr>
          <w:rFonts w:ascii="Calibri" w:hAnsi="Calibri" w:cs="Calibri"/>
          <w:b/>
        </w:rPr>
        <w:t>PaedDr. Jaroslav Bagačka</w:t>
      </w:r>
      <w:r>
        <w:rPr>
          <w:rFonts w:ascii="Calibri" w:hAnsi="Calibri" w:cs="Calibri"/>
          <w:b/>
        </w:rPr>
        <w:tab/>
      </w:r>
      <w:r>
        <w:rPr>
          <w:rFonts w:ascii="Calibri" w:hAnsi="Calibri" w:cs="Calibri"/>
          <w:b/>
        </w:rPr>
        <w:t xml:space="preserve">    </w:t>
      </w:r>
    </w:p>
    <w:p w14:paraId="739F1497">
      <w:pPr>
        <w:tabs>
          <w:tab w:val="left" w:pos="1134"/>
          <w:tab w:val="left" w:pos="6096"/>
        </w:tabs>
        <w:spacing w:after="0" w:line="245" w:lineRule="auto"/>
        <w:rPr>
          <w:rFonts w:cs="Calibri"/>
          <w:lang w:eastAsia="cs-CZ"/>
        </w:rPr>
      </w:pPr>
      <w:r>
        <w:rPr>
          <w:rFonts w:cstheme="minorHAnsi"/>
        </w:rPr>
        <w:t>riaditeľ školy</w:t>
      </w:r>
      <w:r>
        <w:rPr>
          <w:rFonts w:cstheme="minorHAnsi"/>
        </w:rPr>
        <w:tab/>
      </w:r>
      <w:r>
        <w:rPr>
          <w:rFonts w:cstheme="minorHAnsi"/>
        </w:rPr>
        <w:t xml:space="preserve">      </w:t>
      </w:r>
    </w:p>
    <w:p w14:paraId="020EDEBF">
      <w:pPr>
        <w:pStyle w:val="21"/>
        <w:tabs>
          <w:tab w:val="left" w:pos="0"/>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261C3CFB">
      <w:pPr>
        <w:pStyle w:val="21"/>
        <w:jc w:val="both"/>
        <w:rPr>
          <w:rFonts w:asciiTheme="minorHAnsi" w:hAnsiTheme="minorHAnsi" w:cstheme="minorHAnsi"/>
          <w:color w:val="auto"/>
          <w:sz w:val="22"/>
          <w:szCs w:val="22"/>
        </w:rPr>
      </w:pPr>
    </w:p>
    <w:sectPr>
      <w:footerReference r:id="rId5" w:type="default"/>
      <w:pgSz w:w="11906" w:h="16838"/>
      <w:pgMar w:top="1418" w:right="1274" w:bottom="1418" w:left="1418" w:header="709" w:footer="46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Black">
    <w:panose1 w:val="020B0A04020102020204"/>
    <w:charset w:val="EE"/>
    <w:family w:val="swiss"/>
    <w:pitch w:val="default"/>
    <w:sig w:usb0="A00002AF" w:usb1="400078FB" w:usb2="00000000" w:usb3="00000000" w:csb0="6000009F" w:csb1="DFD70000"/>
  </w:font>
  <w:font w:name="Arial">
    <w:panose1 w:val="020B0604020202020204"/>
    <w:charset w:val="EE"/>
    <w:family w:val="swiss"/>
    <w:pitch w:val="default"/>
    <w:sig w:usb0="E0002EFF" w:usb1="C000785B" w:usb2="00000009" w:usb3="00000000" w:csb0="400001FF" w:csb1="FFFF0000"/>
  </w:font>
  <w:font w:name="Trebuchet MS">
    <w:panose1 w:val="020B0603020202020204"/>
    <w:charset w:val="EE"/>
    <w:family w:val="swiss"/>
    <w:pitch w:val="default"/>
    <w:sig w:usb0="00000687" w:usb1="00000000" w:usb2="00000000" w:usb3="00000000" w:csb0="2000009F" w:csb1="00000000"/>
  </w:font>
  <w:font w:name="Segoe UI">
    <w:panose1 w:val="020B0502040204020203"/>
    <w:charset w:val="EE"/>
    <w:family w:val="swiss"/>
    <w:pitch w:val="default"/>
    <w:sig w:usb0="E4002EFF" w:usb1="C000E47F" w:usb2="00000009" w:usb3="00000000" w:csb0="200001FF" w:csb1="00000000"/>
  </w:font>
  <w:font w:name="Courier New">
    <w:panose1 w:val="02070309020205020404"/>
    <w:charset w:val="EE"/>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8"/>
        <w:szCs w:val="18"/>
      </w:rPr>
      <w:id w:val="-1416079598"/>
      <w:docPartObj>
        <w:docPartGallery w:val="AutoText"/>
      </w:docPartObj>
    </w:sdtPr>
    <w:sdtEndPr>
      <w:rPr>
        <w:sz w:val="18"/>
        <w:szCs w:val="18"/>
      </w:rPr>
    </w:sdtEndPr>
    <w:sdtContent>
      <w:sdt>
        <w:sdtPr>
          <w:rPr>
            <w:sz w:val="18"/>
            <w:szCs w:val="18"/>
          </w:rPr>
          <w:id w:val="1728636285"/>
          <w:docPartObj>
            <w:docPartGallery w:val="AutoText"/>
          </w:docPartObj>
        </w:sdtPr>
        <w:sdtEndPr>
          <w:rPr>
            <w:sz w:val="18"/>
            <w:szCs w:val="18"/>
          </w:rPr>
        </w:sdtEndPr>
        <w:sdtContent>
          <w:p w14:paraId="6CB521C7">
            <w:pPr>
              <w:pStyle w:val="10"/>
              <w:jc w:val="center"/>
              <w:rPr>
                <w:sz w:val="18"/>
                <w:szCs w:val="18"/>
              </w:rPr>
            </w:pPr>
            <w:r>
              <w:rPr>
                <w:sz w:val="18"/>
                <w:szCs w:val="18"/>
              </w:rPr>
              <w:t xml:space="preserve"> </w:t>
            </w:r>
            <w:r>
              <w:rPr>
                <w:b/>
                <w:bCs/>
                <w:sz w:val="18"/>
                <w:szCs w:val="18"/>
              </w:rPr>
              <w:fldChar w:fldCharType="begin"/>
            </w:r>
            <w:r>
              <w:rPr>
                <w:b/>
                <w:bCs/>
                <w:sz w:val="18"/>
                <w:szCs w:val="18"/>
              </w:rPr>
              <w:instrText xml:space="preserve">PAGE</w:instrText>
            </w:r>
            <w:r>
              <w:rPr>
                <w:b/>
                <w:bCs/>
                <w:sz w:val="18"/>
                <w:szCs w:val="18"/>
              </w:rPr>
              <w:fldChar w:fldCharType="separate"/>
            </w:r>
            <w:r>
              <w:rPr>
                <w:b/>
                <w:bCs/>
                <w:sz w:val="18"/>
                <w:szCs w:val="18"/>
              </w:rPr>
              <w:t>10</w:t>
            </w:r>
            <w:r>
              <w:rPr>
                <w:b/>
                <w:bCs/>
                <w:sz w:val="18"/>
                <w:szCs w:val="18"/>
              </w:rPr>
              <w:fldChar w:fldCharType="end"/>
            </w:r>
            <w:r>
              <w:rPr>
                <w:b/>
                <w:bCs/>
                <w:sz w:val="18"/>
                <w:szCs w:val="18"/>
              </w:rPr>
              <w:t>/</w:t>
            </w:r>
            <w:r>
              <w:rPr>
                <w:b/>
                <w:bCs/>
                <w:sz w:val="18"/>
                <w:szCs w:val="18"/>
              </w:rPr>
              <w:fldChar w:fldCharType="begin"/>
            </w:r>
            <w:r>
              <w:rPr>
                <w:b/>
                <w:bCs/>
                <w:sz w:val="18"/>
                <w:szCs w:val="18"/>
              </w:rPr>
              <w:instrText xml:space="preserve">NUMPAGES</w:instrText>
            </w:r>
            <w:r>
              <w:rPr>
                <w:b/>
                <w:bCs/>
                <w:sz w:val="18"/>
                <w:szCs w:val="18"/>
              </w:rPr>
              <w:fldChar w:fldCharType="separate"/>
            </w:r>
            <w:r>
              <w:rPr>
                <w:b/>
                <w:bCs/>
                <w:sz w:val="18"/>
                <w:szCs w:val="18"/>
              </w:rPr>
              <w:t>21</w:t>
            </w:r>
            <w:r>
              <w:rPr>
                <w:b/>
                <w:bCs/>
                <w:sz w:val="18"/>
                <w:szCs w:val="18"/>
              </w:rPr>
              <w:fldChar w:fldCharType="end"/>
            </w:r>
          </w:p>
        </w:sdtContent>
      </w:sdt>
    </w:sdtContent>
  </w:sdt>
  <w:p w14:paraId="6FA4E0CF">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4" w:lineRule="auto"/>
      </w:pPr>
      <w:r>
        <w:separator/>
      </w:r>
    </w:p>
  </w:footnote>
  <w:footnote w:type="continuationSeparator" w:id="1">
    <w:p>
      <w:pPr>
        <w:spacing w:before="0" w:after="0" w:line="25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07A3E"/>
    <w:multiLevelType w:val="multilevel"/>
    <w:tmpl w:val="04107A3E"/>
    <w:lvl w:ilvl="0" w:tentative="0">
      <w:start w:val="1"/>
      <w:numFmt w:val="lowerLetter"/>
      <w:lvlText w:val="%1)"/>
      <w:lvlJc w:val="left"/>
      <w:pPr>
        <w:ind w:left="1069" w:hanging="360"/>
      </w:pPr>
      <w:rPr>
        <w:rFonts w:hint="default"/>
        <w:b w:val="0"/>
        <w:bCs/>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0E214BCD"/>
    <w:multiLevelType w:val="multilevel"/>
    <w:tmpl w:val="0E214BCD"/>
    <w:lvl w:ilvl="0" w:tentative="0">
      <w:start w:val="1"/>
      <w:numFmt w:val="lowerLetter"/>
      <w:lvlText w:val="%1)"/>
      <w:lvlJc w:val="left"/>
      <w:pPr>
        <w:ind w:left="1004" w:hanging="360"/>
      </w:pPr>
    </w:lvl>
    <w:lvl w:ilvl="1" w:tentative="0">
      <w:start w:val="1"/>
      <w:numFmt w:val="lowerLetter"/>
      <w:lvlText w:val="%2."/>
      <w:lvlJc w:val="left"/>
      <w:pPr>
        <w:ind w:left="1724" w:hanging="360"/>
      </w:p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2">
    <w:nsid w:val="121D23D1"/>
    <w:multiLevelType w:val="multilevel"/>
    <w:tmpl w:val="121D23D1"/>
    <w:lvl w:ilvl="0" w:tentative="0">
      <w:start w:val="1"/>
      <w:numFmt w:val="decimal"/>
      <w:lvlText w:val="%1"/>
      <w:lvlJc w:val="left"/>
      <w:pPr>
        <w:ind w:left="435" w:hanging="435"/>
      </w:pPr>
      <w:rPr>
        <w:rFonts w:hint="default"/>
      </w:rPr>
    </w:lvl>
    <w:lvl w:ilvl="1" w:tentative="0">
      <w:start w:val="3"/>
      <w:numFmt w:val="decimal"/>
      <w:lvlText w:val="%1.%2"/>
      <w:lvlJc w:val="left"/>
      <w:pPr>
        <w:ind w:left="718" w:hanging="435"/>
      </w:pPr>
      <w:rPr>
        <w:rFonts w:hint="default"/>
      </w:rPr>
    </w:lvl>
    <w:lvl w:ilvl="2" w:tentative="0">
      <w:start w:val="1"/>
      <w:numFmt w:val="decimal"/>
      <w:lvlText w:val="%1.%2.%3"/>
      <w:lvlJc w:val="left"/>
      <w:pPr>
        <w:ind w:left="1286" w:hanging="720"/>
      </w:pPr>
      <w:rPr>
        <w:rFonts w:hint="default"/>
        <w:b w:val="0"/>
        <w:bCs w:val="0"/>
      </w:rPr>
    </w:lvl>
    <w:lvl w:ilvl="3" w:tentative="0">
      <w:start w:val="1"/>
      <w:numFmt w:val="decimal"/>
      <w:lvlText w:val="%1.%2.%3.%4"/>
      <w:lvlJc w:val="left"/>
      <w:pPr>
        <w:ind w:left="1569" w:hanging="720"/>
      </w:pPr>
      <w:rPr>
        <w:rFonts w:hint="default"/>
      </w:rPr>
    </w:lvl>
    <w:lvl w:ilvl="4" w:tentative="0">
      <w:start w:val="1"/>
      <w:numFmt w:val="decimal"/>
      <w:lvlText w:val="%1.%2.%3.%4.%5"/>
      <w:lvlJc w:val="left"/>
      <w:pPr>
        <w:ind w:left="2212" w:hanging="1080"/>
      </w:pPr>
      <w:rPr>
        <w:rFonts w:hint="default"/>
      </w:rPr>
    </w:lvl>
    <w:lvl w:ilvl="5" w:tentative="0">
      <w:start w:val="1"/>
      <w:numFmt w:val="decimal"/>
      <w:lvlText w:val="%1.%2.%3.%4.%5.%6"/>
      <w:lvlJc w:val="left"/>
      <w:pPr>
        <w:ind w:left="2495" w:hanging="1080"/>
      </w:pPr>
      <w:rPr>
        <w:rFonts w:hint="default"/>
      </w:rPr>
    </w:lvl>
    <w:lvl w:ilvl="6" w:tentative="0">
      <w:start w:val="1"/>
      <w:numFmt w:val="decimal"/>
      <w:lvlText w:val="%1.%2.%3.%4.%5.%6.%7"/>
      <w:lvlJc w:val="left"/>
      <w:pPr>
        <w:ind w:left="3138" w:hanging="1440"/>
      </w:pPr>
      <w:rPr>
        <w:rFonts w:hint="default"/>
      </w:rPr>
    </w:lvl>
    <w:lvl w:ilvl="7" w:tentative="0">
      <w:start w:val="1"/>
      <w:numFmt w:val="decimal"/>
      <w:lvlText w:val="%1.%2.%3.%4.%5.%6.%7.%8"/>
      <w:lvlJc w:val="left"/>
      <w:pPr>
        <w:ind w:left="3421" w:hanging="1440"/>
      </w:pPr>
      <w:rPr>
        <w:rFonts w:hint="default"/>
      </w:rPr>
    </w:lvl>
    <w:lvl w:ilvl="8" w:tentative="0">
      <w:start w:val="1"/>
      <w:numFmt w:val="decimal"/>
      <w:lvlText w:val="%1.%2.%3.%4.%5.%6.%7.%8.%9"/>
      <w:lvlJc w:val="left"/>
      <w:pPr>
        <w:ind w:left="3704" w:hanging="1440"/>
      </w:pPr>
      <w:rPr>
        <w:rFonts w:hint="default"/>
      </w:rPr>
    </w:lvl>
  </w:abstractNum>
  <w:abstractNum w:abstractNumId="3">
    <w:nsid w:val="18EA1050"/>
    <w:multiLevelType w:val="multilevel"/>
    <w:tmpl w:val="18EA1050"/>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B6E086B"/>
    <w:multiLevelType w:val="multilevel"/>
    <w:tmpl w:val="1B6E086B"/>
    <w:lvl w:ilvl="0" w:tentative="0">
      <w:start w:val="1"/>
      <w:numFmt w:val="decimal"/>
      <w:lvlText w:val="%1."/>
      <w:lvlJc w:val="left"/>
      <w:pPr>
        <w:ind w:left="720" w:hanging="360"/>
      </w:pPr>
      <w:rPr>
        <w:b w:val="0"/>
        <w:bCs w:val="0"/>
      </w:rPr>
    </w:lvl>
    <w:lvl w:ilvl="1" w:tentative="0">
      <w:start w:val="1"/>
      <w:numFmt w:val="decimal"/>
      <w:isLgl/>
      <w:lvlText w:val="%1.%2."/>
      <w:lvlJc w:val="left"/>
      <w:pPr>
        <w:ind w:left="786" w:hanging="360"/>
      </w:pPr>
      <w:rPr>
        <w:rFonts w:hint="default" w:asciiTheme="minorHAnsi" w:hAnsiTheme="minorHAnsi" w:cstheme="minorHAnsi"/>
        <w:b/>
        <w:sz w:val="22"/>
        <w:szCs w:val="22"/>
      </w:rPr>
    </w:lvl>
    <w:lvl w:ilvl="2" w:tentative="0">
      <w:start w:val="1"/>
      <w:numFmt w:val="decimal"/>
      <w:isLgl/>
      <w:lvlText w:val="%1.%2.%3."/>
      <w:lvlJc w:val="left"/>
      <w:pPr>
        <w:ind w:left="1212" w:hanging="720"/>
      </w:pPr>
    </w:lvl>
    <w:lvl w:ilvl="3" w:tentative="0">
      <w:start w:val="1"/>
      <w:numFmt w:val="decimal"/>
      <w:isLgl/>
      <w:lvlText w:val="%1.%2.%3.%4."/>
      <w:lvlJc w:val="left"/>
      <w:pPr>
        <w:ind w:left="1278" w:hanging="720"/>
      </w:pPr>
    </w:lvl>
    <w:lvl w:ilvl="4" w:tentative="0">
      <w:start w:val="1"/>
      <w:numFmt w:val="decimal"/>
      <w:isLgl/>
      <w:lvlText w:val="%1.%2.%3.%4.%5."/>
      <w:lvlJc w:val="left"/>
      <w:pPr>
        <w:ind w:left="1704" w:hanging="1080"/>
      </w:pPr>
    </w:lvl>
    <w:lvl w:ilvl="5" w:tentative="0">
      <w:start w:val="1"/>
      <w:numFmt w:val="decimal"/>
      <w:isLgl/>
      <w:lvlText w:val="%1.%2.%3.%4.%5.%6."/>
      <w:lvlJc w:val="left"/>
      <w:pPr>
        <w:ind w:left="1770" w:hanging="1080"/>
      </w:pPr>
    </w:lvl>
    <w:lvl w:ilvl="6" w:tentative="0">
      <w:start w:val="1"/>
      <w:numFmt w:val="decimal"/>
      <w:isLgl/>
      <w:lvlText w:val="%1.%2.%3.%4.%5.%6.%7."/>
      <w:lvlJc w:val="left"/>
      <w:pPr>
        <w:ind w:left="2196" w:hanging="1440"/>
      </w:pPr>
    </w:lvl>
    <w:lvl w:ilvl="7" w:tentative="0">
      <w:start w:val="1"/>
      <w:numFmt w:val="decimal"/>
      <w:isLgl/>
      <w:lvlText w:val="%1.%2.%3.%4.%5.%6.%7.%8."/>
      <w:lvlJc w:val="left"/>
      <w:pPr>
        <w:ind w:left="2262" w:hanging="1440"/>
      </w:pPr>
    </w:lvl>
    <w:lvl w:ilvl="8" w:tentative="0">
      <w:start w:val="1"/>
      <w:numFmt w:val="decimal"/>
      <w:isLgl/>
      <w:lvlText w:val="%1.%2.%3.%4.%5.%6.%7.%8.%9."/>
      <w:lvlJc w:val="left"/>
      <w:pPr>
        <w:ind w:left="2688" w:hanging="1800"/>
      </w:pPr>
    </w:lvl>
  </w:abstractNum>
  <w:abstractNum w:abstractNumId="5">
    <w:nsid w:val="2E34451D"/>
    <w:multiLevelType w:val="multilevel"/>
    <w:tmpl w:val="2E34451D"/>
    <w:lvl w:ilvl="0" w:tentative="0">
      <w:start w:val="2"/>
      <w:numFmt w:val="decimal"/>
      <w:lvlText w:val="%1."/>
      <w:lvlJc w:val="left"/>
      <w:pPr>
        <w:ind w:left="720" w:hanging="360"/>
      </w:pPr>
      <w:rPr>
        <w:rFonts w:hint="default"/>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A533B71"/>
    <w:multiLevelType w:val="multilevel"/>
    <w:tmpl w:val="3A533B71"/>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E730765"/>
    <w:multiLevelType w:val="multilevel"/>
    <w:tmpl w:val="3E730765"/>
    <w:lvl w:ilvl="0" w:tentative="0">
      <w:start w:val="1"/>
      <w:numFmt w:val="decimal"/>
      <w:lvlText w:val="%1."/>
      <w:lvlJc w:val="left"/>
      <w:pPr>
        <w:ind w:left="720" w:hanging="360"/>
      </w:pPr>
      <w:rPr>
        <w:rFonts w:hint="default" w:asciiTheme="minorHAnsi" w:hAnsiTheme="minorHAnsi" w:cstheme="minorHAnsi"/>
        <w:b w:val="0"/>
        <w:bCs/>
        <w:sz w:val="22"/>
        <w:szCs w:val="22"/>
      </w:rPr>
    </w:lvl>
    <w:lvl w:ilvl="1" w:tentative="0">
      <w:start w:val="1"/>
      <w:numFmt w:val="decimal"/>
      <w:isLgl/>
      <w:lvlText w:val="%1.%2"/>
      <w:lvlJc w:val="left"/>
      <w:pPr>
        <w:ind w:left="720" w:hanging="360"/>
      </w:p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8">
    <w:nsid w:val="417C068E"/>
    <w:multiLevelType w:val="multilevel"/>
    <w:tmpl w:val="417C068E"/>
    <w:lvl w:ilvl="0" w:tentative="0">
      <w:start w:val="0"/>
      <w:numFmt w:val="bullet"/>
      <w:lvlText w:val="-"/>
      <w:lvlJc w:val="left"/>
      <w:pPr>
        <w:ind w:left="1069" w:hanging="360"/>
      </w:pPr>
      <w:rPr>
        <w:rFonts w:hint="default" w:ascii="Calibri" w:hAnsi="Calibri" w:eastAsia="Times New Roman" w:cs="Calibri"/>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9">
    <w:nsid w:val="41AA5922"/>
    <w:multiLevelType w:val="multilevel"/>
    <w:tmpl w:val="41AA5922"/>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429E6F18"/>
    <w:multiLevelType w:val="multilevel"/>
    <w:tmpl w:val="429E6F18"/>
    <w:lvl w:ilvl="0" w:tentative="0">
      <w:start w:val="1"/>
      <w:numFmt w:val="decimal"/>
      <w:lvlText w:val="%1."/>
      <w:lvlJc w:val="left"/>
      <w:pPr>
        <w:ind w:left="720" w:hanging="360"/>
      </w:pPr>
      <w:rPr>
        <w:b/>
      </w:rPr>
    </w:lvl>
    <w:lvl w:ilvl="1" w:tentative="0">
      <w:start w:val="1"/>
      <w:numFmt w:val="decimal"/>
      <w:isLgl/>
      <w:lvlText w:val="%1.%2."/>
      <w:lvlJc w:val="left"/>
      <w:pPr>
        <w:ind w:left="720" w:hanging="360"/>
      </w:pPr>
      <w:rPr>
        <w:b/>
      </w:r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11">
    <w:nsid w:val="46A863C9"/>
    <w:multiLevelType w:val="multilevel"/>
    <w:tmpl w:val="46A863C9"/>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46BE25E5"/>
    <w:multiLevelType w:val="multilevel"/>
    <w:tmpl w:val="46BE25E5"/>
    <w:lvl w:ilvl="0" w:tentative="0">
      <w:start w:val="1"/>
      <w:numFmt w:val="lowerLetter"/>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47374A97"/>
    <w:multiLevelType w:val="multilevel"/>
    <w:tmpl w:val="47374A97"/>
    <w:lvl w:ilvl="0" w:tentative="0">
      <w:start w:val="1"/>
      <w:numFmt w:val="decimal"/>
      <w:lvlText w:val="%1."/>
      <w:lvlJc w:val="left"/>
      <w:pPr>
        <w:ind w:left="720" w:hanging="360"/>
      </w:pPr>
      <w:rPr>
        <w:rFonts w:hint="default" w:asciiTheme="minorHAnsi" w:hAnsiTheme="minorHAnsi" w:cstheme="minorHAnsi"/>
        <w:b w:val="0"/>
        <w:bCs w:val="0"/>
        <w:sz w:val="23"/>
      </w:rPr>
    </w:lvl>
    <w:lvl w:ilvl="1" w:tentative="0">
      <w:start w:val="1"/>
      <w:numFmt w:val="decimal"/>
      <w:isLgl/>
      <w:lvlText w:val="%1.%2."/>
      <w:lvlJc w:val="left"/>
      <w:pPr>
        <w:ind w:left="720" w:hanging="360"/>
      </w:pPr>
      <w:rPr>
        <w:b/>
        <w:bCs w:val="0"/>
      </w:r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14">
    <w:nsid w:val="50AA48EA"/>
    <w:multiLevelType w:val="multilevel"/>
    <w:tmpl w:val="50AA48EA"/>
    <w:lvl w:ilvl="0" w:tentative="0">
      <w:start w:val="1"/>
      <w:numFmt w:val="lowerLetter"/>
      <w:lvlText w:val="%1)"/>
      <w:lvlJc w:val="left"/>
      <w:pPr>
        <w:ind w:left="1353" w:hanging="360"/>
      </w:pPr>
      <w:rPr>
        <w:b/>
        <w:sz w:val="22"/>
        <w:szCs w:val="22"/>
      </w:rPr>
    </w:lvl>
    <w:lvl w:ilvl="1" w:tentative="0">
      <w:start w:val="1"/>
      <w:numFmt w:val="lowerLetter"/>
      <w:lvlText w:val="%2."/>
      <w:lvlJc w:val="left"/>
      <w:pPr>
        <w:ind w:left="2073" w:hanging="360"/>
      </w:pPr>
    </w:lvl>
    <w:lvl w:ilvl="2" w:tentative="0">
      <w:start w:val="1"/>
      <w:numFmt w:val="lowerRoman"/>
      <w:lvlText w:val="%3."/>
      <w:lvlJc w:val="right"/>
      <w:pPr>
        <w:ind w:left="2793" w:hanging="180"/>
      </w:pPr>
    </w:lvl>
    <w:lvl w:ilvl="3" w:tentative="0">
      <w:start w:val="1"/>
      <w:numFmt w:val="decimal"/>
      <w:lvlText w:val="%4."/>
      <w:lvlJc w:val="left"/>
      <w:pPr>
        <w:ind w:left="3513" w:hanging="360"/>
      </w:pPr>
    </w:lvl>
    <w:lvl w:ilvl="4" w:tentative="0">
      <w:start w:val="1"/>
      <w:numFmt w:val="lowerLetter"/>
      <w:lvlText w:val="%5."/>
      <w:lvlJc w:val="left"/>
      <w:pPr>
        <w:ind w:left="4233" w:hanging="360"/>
      </w:pPr>
    </w:lvl>
    <w:lvl w:ilvl="5" w:tentative="0">
      <w:start w:val="1"/>
      <w:numFmt w:val="lowerRoman"/>
      <w:lvlText w:val="%6."/>
      <w:lvlJc w:val="right"/>
      <w:pPr>
        <w:ind w:left="4953" w:hanging="180"/>
      </w:pPr>
    </w:lvl>
    <w:lvl w:ilvl="6" w:tentative="0">
      <w:start w:val="1"/>
      <w:numFmt w:val="decimal"/>
      <w:lvlText w:val="%7."/>
      <w:lvlJc w:val="left"/>
      <w:pPr>
        <w:ind w:left="5673" w:hanging="360"/>
      </w:pPr>
    </w:lvl>
    <w:lvl w:ilvl="7" w:tentative="0">
      <w:start w:val="1"/>
      <w:numFmt w:val="lowerLetter"/>
      <w:lvlText w:val="%8."/>
      <w:lvlJc w:val="left"/>
      <w:pPr>
        <w:ind w:left="6393" w:hanging="360"/>
      </w:pPr>
    </w:lvl>
    <w:lvl w:ilvl="8" w:tentative="0">
      <w:start w:val="1"/>
      <w:numFmt w:val="lowerRoman"/>
      <w:lvlText w:val="%9."/>
      <w:lvlJc w:val="right"/>
      <w:pPr>
        <w:ind w:left="7113" w:hanging="180"/>
      </w:pPr>
    </w:lvl>
  </w:abstractNum>
  <w:abstractNum w:abstractNumId="15">
    <w:nsid w:val="50D24C60"/>
    <w:multiLevelType w:val="multilevel"/>
    <w:tmpl w:val="50D24C60"/>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3A95073"/>
    <w:multiLevelType w:val="multilevel"/>
    <w:tmpl w:val="53A95073"/>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5FB3D5D"/>
    <w:multiLevelType w:val="multilevel"/>
    <w:tmpl w:val="55FB3D5D"/>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651373B"/>
    <w:multiLevelType w:val="multilevel"/>
    <w:tmpl w:val="5651373B"/>
    <w:lvl w:ilvl="0" w:tentative="0">
      <w:start w:val="1"/>
      <w:numFmt w:val="decimal"/>
      <w:lvlText w:val="%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82546C2"/>
    <w:multiLevelType w:val="multilevel"/>
    <w:tmpl w:val="582546C2"/>
    <w:lvl w:ilvl="0" w:tentative="0">
      <w:start w:val="1"/>
      <w:numFmt w:val="decimal"/>
      <w:lvlText w:val="%1."/>
      <w:lvlJc w:val="left"/>
      <w:pPr>
        <w:ind w:left="720" w:hanging="360"/>
      </w:pPr>
      <w:rPr>
        <w:b w:val="0"/>
        <w:bCs/>
      </w:rPr>
    </w:lvl>
    <w:lvl w:ilvl="1" w:tentative="0">
      <w:start w:val="1"/>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20">
    <w:nsid w:val="5BAD3366"/>
    <w:multiLevelType w:val="multilevel"/>
    <w:tmpl w:val="5BAD3366"/>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5C1F5F14"/>
    <w:multiLevelType w:val="multilevel"/>
    <w:tmpl w:val="5C1F5F14"/>
    <w:lvl w:ilvl="0" w:tentative="0">
      <w:start w:val="1"/>
      <w:numFmt w:val="decimal"/>
      <w:lvlText w:val="%1."/>
      <w:lvlJc w:val="left"/>
      <w:pPr>
        <w:ind w:left="644" w:hanging="360"/>
      </w:pPr>
      <w:rPr>
        <w:b w:val="0"/>
        <w:bCs/>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69DE3964"/>
    <w:multiLevelType w:val="multilevel"/>
    <w:tmpl w:val="69DE3964"/>
    <w:lvl w:ilvl="0" w:tentative="0">
      <w:start w:val="1"/>
      <w:numFmt w:val="decimal"/>
      <w:lvlText w:val="%1."/>
      <w:lvlJc w:val="left"/>
      <w:pPr>
        <w:ind w:left="360" w:hanging="360"/>
      </w:pPr>
      <w:rPr>
        <w:b w:val="0"/>
        <w:bCs w:val="0"/>
      </w:rPr>
    </w:lvl>
    <w:lvl w:ilvl="1" w:tentative="0">
      <w:start w:val="1"/>
      <w:numFmt w:val="decimal"/>
      <w:lvlText w:val="%1.%2."/>
      <w:lvlJc w:val="left"/>
      <w:pPr>
        <w:ind w:left="792" w:hanging="432"/>
      </w:pPr>
      <w:rPr>
        <w:b w:val="0"/>
        <w:bCs w:val="0"/>
      </w:r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3">
    <w:nsid w:val="773C7E44"/>
    <w:multiLevelType w:val="multilevel"/>
    <w:tmpl w:val="773C7E44"/>
    <w:lvl w:ilvl="0" w:tentative="0">
      <w:start w:val="1"/>
      <w:numFmt w:val="decimal"/>
      <w:lvlText w:val="%1."/>
      <w:lvlJc w:val="left"/>
      <w:pPr>
        <w:ind w:left="720" w:hanging="360"/>
      </w:pPr>
      <w:rPr>
        <w:rFonts w:hint="default" w:asciiTheme="minorHAnsi" w:hAnsiTheme="minorHAnsi" w:cstheme="minorHAnsi"/>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7DF625EA"/>
    <w:multiLevelType w:val="multilevel"/>
    <w:tmpl w:val="7DF625EA"/>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7"/>
  </w:num>
  <w:num w:numId="11">
    <w:abstractNumId w:val="8"/>
  </w:num>
  <w:num w:numId="12">
    <w:abstractNumId w:val="21"/>
  </w:num>
  <w:num w:numId="13">
    <w:abstractNumId w:val="0"/>
  </w:num>
  <w:num w:numId="14">
    <w:abstractNumId w:val="15"/>
  </w:num>
  <w:num w:numId="15">
    <w:abstractNumId w:val="16"/>
  </w:num>
  <w:num w:numId="16">
    <w:abstractNumId w:val="19"/>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
  </w:num>
  <w:num w:numId="24">
    <w:abstractNumId w:val="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0D"/>
    <w:rsid w:val="00014501"/>
    <w:rsid w:val="0001516F"/>
    <w:rsid w:val="00015AB7"/>
    <w:rsid w:val="00016EC2"/>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332C"/>
    <w:rsid w:val="00064986"/>
    <w:rsid w:val="000701B8"/>
    <w:rsid w:val="00074218"/>
    <w:rsid w:val="00081699"/>
    <w:rsid w:val="000850DA"/>
    <w:rsid w:val="000865C5"/>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282"/>
    <w:rsid w:val="000F674F"/>
    <w:rsid w:val="000F6A2B"/>
    <w:rsid w:val="00102A06"/>
    <w:rsid w:val="00111C06"/>
    <w:rsid w:val="00114F25"/>
    <w:rsid w:val="00115959"/>
    <w:rsid w:val="001166D8"/>
    <w:rsid w:val="00123FFF"/>
    <w:rsid w:val="00127F2A"/>
    <w:rsid w:val="00130E20"/>
    <w:rsid w:val="001344B4"/>
    <w:rsid w:val="00140F83"/>
    <w:rsid w:val="00141A18"/>
    <w:rsid w:val="00141CBD"/>
    <w:rsid w:val="0014416A"/>
    <w:rsid w:val="00145B1C"/>
    <w:rsid w:val="00150131"/>
    <w:rsid w:val="00150132"/>
    <w:rsid w:val="00152642"/>
    <w:rsid w:val="00161FE3"/>
    <w:rsid w:val="0017210A"/>
    <w:rsid w:val="00180114"/>
    <w:rsid w:val="0018699F"/>
    <w:rsid w:val="0018721C"/>
    <w:rsid w:val="0019537F"/>
    <w:rsid w:val="001A30F9"/>
    <w:rsid w:val="001A536C"/>
    <w:rsid w:val="001A6804"/>
    <w:rsid w:val="001A7BCF"/>
    <w:rsid w:val="001B1B77"/>
    <w:rsid w:val="001B33AE"/>
    <w:rsid w:val="001B43E9"/>
    <w:rsid w:val="001B75C4"/>
    <w:rsid w:val="001D5328"/>
    <w:rsid w:val="001E09FC"/>
    <w:rsid w:val="001F2353"/>
    <w:rsid w:val="001F268E"/>
    <w:rsid w:val="001F4180"/>
    <w:rsid w:val="001F49C5"/>
    <w:rsid w:val="001F4C99"/>
    <w:rsid w:val="001F6813"/>
    <w:rsid w:val="0020121D"/>
    <w:rsid w:val="00202B77"/>
    <w:rsid w:val="00204016"/>
    <w:rsid w:val="00206BDA"/>
    <w:rsid w:val="00210DE5"/>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609"/>
    <w:rsid w:val="00292D68"/>
    <w:rsid w:val="002947AB"/>
    <w:rsid w:val="00294887"/>
    <w:rsid w:val="002951F1"/>
    <w:rsid w:val="00296489"/>
    <w:rsid w:val="002A0FA5"/>
    <w:rsid w:val="002A6831"/>
    <w:rsid w:val="002B0327"/>
    <w:rsid w:val="002B4232"/>
    <w:rsid w:val="002B5205"/>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6F0D"/>
    <w:rsid w:val="0037792E"/>
    <w:rsid w:val="00381E92"/>
    <w:rsid w:val="00382B18"/>
    <w:rsid w:val="0038391A"/>
    <w:rsid w:val="0038412F"/>
    <w:rsid w:val="0039134F"/>
    <w:rsid w:val="00396373"/>
    <w:rsid w:val="003971C0"/>
    <w:rsid w:val="0039780B"/>
    <w:rsid w:val="003A01B2"/>
    <w:rsid w:val="003A053D"/>
    <w:rsid w:val="003A4466"/>
    <w:rsid w:val="003A4AAB"/>
    <w:rsid w:val="003A5EB3"/>
    <w:rsid w:val="003B11C9"/>
    <w:rsid w:val="003B14C2"/>
    <w:rsid w:val="003B55AF"/>
    <w:rsid w:val="003B628C"/>
    <w:rsid w:val="003B648F"/>
    <w:rsid w:val="003B65F0"/>
    <w:rsid w:val="003C1C80"/>
    <w:rsid w:val="003C603C"/>
    <w:rsid w:val="003D07DE"/>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31FD"/>
    <w:rsid w:val="004435E9"/>
    <w:rsid w:val="004444A3"/>
    <w:rsid w:val="00445B60"/>
    <w:rsid w:val="00447831"/>
    <w:rsid w:val="00452201"/>
    <w:rsid w:val="00452B40"/>
    <w:rsid w:val="004532E2"/>
    <w:rsid w:val="004541CE"/>
    <w:rsid w:val="00455047"/>
    <w:rsid w:val="00463302"/>
    <w:rsid w:val="004638F1"/>
    <w:rsid w:val="00465250"/>
    <w:rsid w:val="004673A3"/>
    <w:rsid w:val="004678DE"/>
    <w:rsid w:val="00470981"/>
    <w:rsid w:val="00472471"/>
    <w:rsid w:val="00472C1D"/>
    <w:rsid w:val="00473C5C"/>
    <w:rsid w:val="00480B74"/>
    <w:rsid w:val="00482944"/>
    <w:rsid w:val="00487A3A"/>
    <w:rsid w:val="00493690"/>
    <w:rsid w:val="00493C8C"/>
    <w:rsid w:val="00494269"/>
    <w:rsid w:val="00494AD6"/>
    <w:rsid w:val="00495F11"/>
    <w:rsid w:val="00496636"/>
    <w:rsid w:val="00496E86"/>
    <w:rsid w:val="004A07AE"/>
    <w:rsid w:val="004A0BEB"/>
    <w:rsid w:val="004A1D73"/>
    <w:rsid w:val="004A388E"/>
    <w:rsid w:val="004A5E58"/>
    <w:rsid w:val="004A70B2"/>
    <w:rsid w:val="004B2CAF"/>
    <w:rsid w:val="004B441E"/>
    <w:rsid w:val="004B46E5"/>
    <w:rsid w:val="004B7C71"/>
    <w:rsid w:val="004C3AE7"/>
    <w:rsid w:val="004C3CE1"/>
    <w:rsid w:val="004D08DB"/>
    <w:rsid w:val="004D472B"/>
    <w:rsid w:val="004D4934"/>
    <w:rsid w:val="004D5BC7"/>
    <w:rsid w:val="004D76E1"/>
    <w:rsid w:val="004E00C5"/>
    <w:rsid w:val="004E14DA"/>
    <w:rsid w:val="004E1F83"/>
    <w:rsid w:val="004E265D"/>
    <w:rsid w:val="004E3414"/>
    <w:rsid w:val="004F29E6"/>
    <w:rsid w:val="004F384D"/>
    <w:rsid w:val="004F464E"/>
    <w:rsid w:val="004F483A"/>
    <w:rsid w:val="004F754B"/>
    <w:rsid w:val="004F774A"/>
    <w:rsid w:val="00500A77"/>
    <w:rsid w:val="00506B6A"/>
    <w:rsid w:val="00514E54"/>
    <w:rsid w:val="00517B05"/>
    <w:rsid w:val="005222A4"/>
    <w:rsid w:val="00525E30"/>
    <w:rsid w:val="00526087"/>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A307D"/>
    <w:rsid w:val="005A437A"/>
    <w:rsid w:val="005A478F"/>
    <w:rsid w:val="005B0C37"/>
    <w:rsid w:val="005B447A"/>
    <w:rsid w:val="005B5A6E"/>
    <w:rsid w:val="005B67AD"/>
    <w:rsid w:val="005B71B8"/>
    <w:rsid w:val="005B7A0E"/>
    <w:rsid w:val="005C24BA"/>
    <w:rsid w:val="005D2CEA"/>
    <w:rsid w:val="005D3B26"/>
    <w:rsid w:val="005D69E1"/>
    <w:rsid w:val="005E4018"/>
    <w:rsid w:val="005E40F2"/>
    <w:rsid w:val="005E41D0"/>
    <w:rsid w:val="005F49F8"/>
    <w:rsid w:val="005F634F"/>
    <w:rsid w:val="00602AFB"/>
    <w:rsid w:val="00602B97"/>
    <w:rsid w:val="006062A1"/>
    <w:rsid w:val="006104AE"/>
    <w:rsid w:val="00612FC3"/>
    <w:rsid w:val="0061510A"/>
    <w:rsid w:val="00625A91"/>
    <w:rsid w:val="00626F11"/>
    <w:rsid w:val="006278FF"/>
    <w:rsid w:val="00633CA0"/>
    <w:rsid w:val="00635A5A"/>
    <w:rsid w:val="006421C8"/>
    <w:rsid w:val="00643B65"/>
    <w:rsid w:val="00645A13"/>
    <w:rsid w:val="0065310B"/>
    <w:rsid w:val="00653D59"/>
    <w:rsid w:val="00654AAF"/>
    <w:rsid w:val="00655064"/>
    <w:rsid w:val="00655723"/>
    <w:rsid w:val="006724C8"/>
    <w:rsid w:val="006766AF"/>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6FB7"/>
    <w:rsid w:val="006D7640"/>
    <w:rsid w:val="006E1EB5"/>
    <w:rsid w:val="006E29F4"/>
    <w:rsid w:val="006E438C"/>
    <w:rsid w:val="006E4773"/>
    <w:rsid w:val="006E5FC3"/>
    <w:rsid w:val="006E63DF"/>
    <w:rsid w:val="006F4FEE"/>
    <w:rsid w:val="006F6168"/>
    <w:rsid w:val="006F7BA7"/>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3DF"/>
    <w:rsid w:val="0074562E"/>
    <w:rsid w:val="0074746D"/>
    <w:rsid w:val="00753E1A"/>
    <w:rsid w:val="00755837"/>
    <w:rsid w:val="007605FA"/>
    <w:rsid w:val="00760682"/>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BC6"/>
    <w:rsid w:val="007A5E99"/>
    <w:rsid w:val="007B34D9"/>
    <w:rsid w:val="007B3743"/>
    <w:rsid w:val="007C0009"/>
    <w:rsid w:val="007C3470"/>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2B8D"/>
    <w:rsid w:val="00803B90"/>
    <w:rsid w:val="0080602F"/>
    <w:rsid w:val="00810EA0"/>
    <w:rsid w:val="00812BEF"/>
    <w:rsid w:val="00814C5F"/>
    <w:rsid w:val="00815A78"/>
    <w:rsid w:val="008203C2"/>
    <w:rsid w:val="00822947"/>
    <w:rsid w:val="0082525A"/>
    <w:rsid w:val="0083124F"/>
    <w:rsid w:val="008426E6"/>
    <w:rsid w:val="00842A46"/>
    <w:rsid w:val="00845007"/>
    <w:rsid w:val="008502C4"/>
    <w:rsid w:val="00856CCA"/>
    <w:rsid w:val="00857D60"/>
    <w:rsid w:val="0086046B"/>
    <w:rsid w:val="00860A3D"/>
    <w:rsid w:val="00864A32"/>
    <w:rsid w:val="00865C87"/>
    <w:rsid w:val="00866F44"/>
    <w:rsid w:val="00871348"/>
    <w:rsid w:val="0087191E"/>
    <w:rsid w:val="00875D99"/>
    <w:rsid w:val="00877BE9"/>
    <w:rsid w:val="008845E0"/>
    <w:rsid w:val="008859DA"/>
    <w:rsid w:val="00890EA4"/>
    <w:rsid w:val="00894472"/>
    <w:rsid w:val="00894867"/>
    <w:rsid w:val="00895ABC"/>
    <w:rsid w:val="00897648"/>
    <w:rsid w:val="008A110B"/>
    <w:rsid w:val="008A1AA5"/>
    <w:rsid w:val="008A1DC0"/>
    <w:rsid w:val="008A26F7"/>
    <w:rsid w:val="008A2F20"/>
    <w:rsid w:val="008A6011"/>
    <w:rsid w:val="008B0791"/>
    <w:rsid w:val="008B1C86"/>
    <w:rsid w:val="008B2CC5"/>
    <w:rsid w:val="008B6BC6"/>
    <w:rsid w:val="008B7784"/>
    <w:rsid w:val="008B79B2"/>
    <w:rsid w:val="008B7B74"/>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07717"/>
    <w:rsid w:val="009114A2"/>
    <w:rsid w:val="00911E43"/>
    <w:rsid w:val="009127D0"/>
    <w:rsid w:val="00913D23"/>
    <w:rsid w:val="00922D1C"/>
    <w:rsid w:val="00933E9A"/>
    <w:rsid w:val="0093552C"/>
    <w:rsid w:val="00937AAD"/>
    <w:rsid w:val="009409B8"/>
    <w:rsid w:val="009411B0"/>
    <w:rsid w:val="00941E71"/>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A521B"/>
    <w:rsid w:val="009B06FA"/>
    <w:rsid w:val="009B4DED"/>
    <w:rsid w:val="009C1391"/>
    <w:rsid w:val="009C356B"/>
    <w:rsid w:val="009C3EFE"/>
    <w:rsid w:val="009C48B1"/>
    <w:rsid w:val="009D398D"/>
    <w:rsid w:val="009E5505"/>
    <w:rsid w:val="009E7333"/>
    <w:rsid w:val="009F5461"/>
    <w:rsid w:val="009F58BA"/>
    <w:rsid w:val="009F6BA6"/>
    <w:rsid w:val="00A02E20"/>
    <w:rsid w:val="00A0564D"/>
    <w:rsid w:val="00A0640A"/>
    <w:rsid w:val="00A07013"/>
    <w:rsid w:val="00A1166F"/>
    <w:rsid w:val="00A11EC7"/>
    <w:rsid w:val="00A11F70"/>
    <w:rsid w:val="00A13CC8"/>
    <w:rsid w:val="00A148FE"/>
    <w:rsid w:val="00A14DC8"/>
    <w:rsid w:val="00A15DC9"/>
    <w:rsid w:val="00A20AFA"/>
    <w:rsid w:val="00A2143A"/>
    <w:rsid w:val="00A25F33"/>
    <w:rsid w:val="00A30F9D"/>
    <w:rsid w:val="00A371CB"/>
    <w:rsid w:val="00A426E2"/>
    <w:rsid w:val="00A45910"/>
    <w:rsid w:val="00A468CB"/>
    <w:rsid w:val="00A46E41"/>
    <w:rsid w:val="00A51B93"/>
    <w:rsid w:val="00A52D00"/>
    <w:rsid w:val="00A57BA6"/>
    <w:rsid w:val="00A7028D"/>
    <w:rsid w:val="00A718E5"/>
    <w:rsid w:val="00A73093"/>
    <w:rsid w:val="00A741E8"/>
    <w:rsid w:val="00A8040B"/>
    <w:rsid w:val="00A84E33"/>
    <w:rsid w:val="00A879DF"/>
    <w:rsid w:val="00A949E4"/>
    <w:rsid w:val="00A96358"/>
    <w:rsid w:val="00AA0ED7"/>
    <w:rsid w:val="00AA5DC9"/>
    <w:rsid w:val="00AA7741"/>
    <w:rsid w:val="00AB18FC"/>
    <w:rsid w:val="00AC056B"/>
    <w:rsid w:val="00AC05AF"/>
    <w:rsid w:val="00AC4E31"/>
    <w:rsid w:val="00AC6317"/>
    <w:rsid w:val="00AC7C75"/>
    <w:rsid w:val="00AD3721"/>
    <w:rsid w:val="00AD3E33"/>
    <w:rsid w:val="00AD3F85"/>
    <w:rsid w:val="00AD45AD"/>
    <w:rsid w:val="00AE1050"/>
    <w:rsid w:val="00AE29FF"/>
    <w:rsid w:val="00AE2FF5"/>
    <w:rsid w:val="00AE31F1"/>
    <w:rsid w:val="00AE47AD"/>
    <w:rsid w:val="00AE4C1B"/>
    <w:rsid w:val="00AE5089"/>
    <w:rsid w:val="00AE7278"/>
    <w:rsid w:val="00AF0B04"/>
    <w:rsid w:val="00AF3397"/>
    <w:rsid w:val="00AF3FD0"/>
    <w:rsid w:val="00B00DEE"/>
    <w:rsid w:val="00B0162A"/>
    <w:rsid w:val="00B04D9F"/>
    <w:rsid w:val="00B12721"/>
    <w:rsid w:val="00B142E3"/>
    <w:rsid w:val="00B20782"/>
    <w:rsid w:val="00B22491"/>
    <w:rsid w:val="00B22AA5"/>
    <w:rsid w:val="00B26048"/>
    <w:rsid w:val="00B31473"/>
    <w:rsid w:val="00B32B73"/>
    <w:rsid w:val="00B35A24"/>
    <w:rsid w:val="00B36898"/>
    <w:rsid w:val="00B41471"/>
    <w:rsid w:val="00B41D3D"/>
    <w:rsid w:val="00B43126"/>
    <w:rsid w:val="00B43F06"/>
    <w:rsid w:val="00B46560"/>
    <w:rsid w:val="00B476C8"/>
    <w:rsid w:val="00B51F23"/>
    <w:rsid w:val="00B53DE7"/>
    <w:rsid w:val="00B6022B"/>
    <w:rsid w:val="00B60B86"/>
    <w:rsid w:val="00B65F2E"/>
    <w:rsid w:val="00B72320"/>
    <w:rsid w:val="00B8175B"/>
    <w:rsid w:val="00B92F01"/>
    <w:rsid w:val="00B93A03"/>
    <w:rsid w:val="00B97D83"/>
    <w:rsid w:val="00BA5A97"/>
    <w:rsid w:val="00BA6096"/>
    <w:rsid w:val="00BA7919"/>
    <w:rsid w:val="00BB78CE"/>
    <w:rsid w:val="00BC5C41"/>
    <w:rsid w:val="00BD2F22"/>
    <w:rsid w:val="00BE15E7"/>
    <w:rsid w:val="00BE539E"/>
    <w:rsid w:val="00BE70E1"/>
    <w:rsid w:val="00BF343D"/>
    <w:rsid w:val="00BF3798"/>
    <w:rsid w:val="00BF48D0"/>
    <w:rsid w:val="00BF4944"/>
    <w:rsid w:val="00BF60F7"/>
    <w:rsid w:val="00C0021D"/>
    <w:rsid w:val="00C037EF"/>
    <w:rsid w:val="00C06C76"/>
    <w:rsid w:val="00C10202"/>
    <w:rsid w:val="00C10253"/>
    <w:rsid w:val="00C1057B"/>
    <w:rsid w:val="00C206E1"/>
    <w:rsid w:val="00C20A3B"/>
    <w:rsid w:val="00C23456"/>
    <w:rsid w:val="00C2399D"/>
    <w:rsid w:val="00C33D9A"/>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5F67"/>
    <w:rsid w:val="00C77416"/>
    <w:rsid w:val="00C831C4"/>
    <w:rsid w:val="00C8738D"/>
    <w:rsid w:val="00C9048B"/>
    <w:rsid w:val="00C90B2E"/>
    <w:rsid w:val="00C94F8E"/>
    <w:rsid w:val="00C96109"/>
    <w:rsid w:val="00C97DE6"/>
    <w:rsid w:val="00CB5AB0"/>
    <w:rsid w:val="00CB7802"/>
    <w:rsid w:val="00CC40A6"/>
    <w:rsid w:val="00CC4B20"/>
    <w:rsid w:val="00CC5740"/>
    <w:rsid w:val="00CC5D31"/>
    <w:rsid w:val="00CC6C92"/>
    <w:rsid w:val="00CD0C0A"/>
    <w:rsid w:val="00CD11F1"/>
    <w:rsid w:val="00CE04E7"/>
    <w:rsid w:val="00CE27C6"/>
    <w:rsid w:val="00CE51E5"/>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5E5A"/>
    <w:rsid w:val="00D2607F"/>
    <w:rsid w:val="00D3039B"/>
    <w:rsid w:val="00D31582"/>
    <w:rsid w:val="00D3728D"/>
    <w:rsid w:val="00D375CE"/>
    <w:rsid w:val="00D4111D"/>
    <w:rsid w:val="00D4196E"/>
    <w:rsid w:val="00D43FEB"/>
    <w:rsid w:val="00D5091B"/>
    <w:rsid w:val="00D53C05"/>
    <w:rsid w:val="00D54A47"/>
    <w:rsid w:val="00D5628E"/>
    <w:rsid w:val="00D5786F"/>
    <w:rsid w:val="00D63307"/>
    <w:rsid w:val="00D66A4B"/>
    <w:rsid w:val="00D711DC"/>
    <w:rsid w:val="00D7189D"/>
    <w:rsid w:val="00D72C87"/>
    <w:rsid w:val="00D75163"/>
    <w:rsid w:val="00D75758"/>
    <w:rsid w:val="00D80EB5"/>
    <w:rsid w:val="00D8127A"/>
    <w:rsid w:val="00D81E0A"/>
    <w:rsid w:val="00D85437"/>
    <w:rsid w:val="00D94360"/>
    <w:rsid w:val="00D94B55"/>
    <w:rsid w:val="00D950DB"/>
    <w:rsid w:val="00D95C56"/>
    <w:rsid w:val="00D97671"/>
    <w:rsid w:val="00DA08E5"/>
    <w:rsid w:val="00DA203B"/>
    <w:rsid w:val="00DA34D2"/>
    <w:rsid w:val="00DA39EA"/>
    <w:rsid w:val="00DA3AB7"/>
    <w:rsid w:val="00DA671E"/>
    <w:rsid w:val="00DB0CA8"/>
    <w:rsid w:val="00DB4326"/>
    <w:rsid w:val="00DB45F7"/>
    <w:rsid w:val="00DB5016"/>
    <w:rsid w:val="00DB743A"/>
    <w:rsid w:val="00DB7F66"/>
    <w:rsid w:val="00DC06AD"/>
    <w:rsid w:val="00DC1E20"/>
    <w:rsid w:val="00DC5B6D"/>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6AE0"/>
    <w:rsid w:val="00E16C58"/>
    <w:rsid w:val="00E16FA0"/>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4B9E"/>
    <w:rsid w:val="00E97F79"/>
    <w:rsid w:val="00EA0240"/>
    <w:rsid w:val="00EA4D8A"/>
    <w:rsid w:val="00EA5CF3"/>
    <w:rsid w:val="00EA664E"/>
    <w:rsid w:val="00EB0877"/>
    <w:rsid w:val="00EB33A3"/>
    <w:rsid w:val="00EB7A2F"/>
    <w:rsid w:val="00EB7A9B"/>
    <w:rsid w:val="00EC1BED"/>
    <w:rsid w:val="00EC389C"/>
    <w:rsid w:val="00EC3D76"/>
    <w:rsid w:val="00ED20E9"/>
    <w:rsid w:val="00ED454F"/>
    <w:rsid w:val="00ED6E71"/>
    <w:rsid w:val="00ED7E70"/>
    <w:rsid w:val="00EE205A"/>
    <w:rsid w:val="00EE7CE2"/>
    <w:rsid w:val="00F00E35"/>
    <w:rsid w:val="00F07BBD"/>
    <w:rsid w:val="00F10490"/>
    <w:rsid w:val="00F120DE"/>
    <w:rsid w:val="00F121ED"/>
    <w:rsid w:val="00F12980"/>
    <w:rsid w:val="00F12B2F"/>
    <w:rsid w:val="00F13427"/>
    <w:rsid w:val="00F207C5"/>
    <w:rsid w:val="00F24216"/>
    <w:rsid w:val="00F3040C"/>
    <w:rsid w:val="00F310CF"/>
    <w:rsid w:val="00F3475F"/>
    <w:rsid w:val="00F41416"/>
    <w:rsid w:val="00F42BF7"/>
    <w:rsid w:val="00F457EE"/>
    <w:rsid w:val="00F460E5"/>
    <w:rsid w:val="00F4660A"/>
    <w:rsid w:val="00F47520"/>
    <w:rsid w:val="00F532C0"/>
    <w:rsid w:val="00F55539"/>
    <w:rsid w:val="00F577EF"/>
    <w:rsid w:val="00F625DA"/>
    <w:rsid w:val="00F62E98"/>
    <w:rsid w:val="00F64EE1"/>
    <w:rsid w:val="00F66102"/>
    <w:rsid w:val="00F70106"/>
    <w:rsid w:val="00F70A59"/>
    <w:rsid w:val="00F71805"/>
    <w:rsid w:val="00F71C22"/>
    <w:rsid w:val="00F73530"/>
    <w:rsid w:val="00F74A99"/>
    <w:rsid w:val="00F74C86"/>
    <w:rsid w:val="00F77454"/>
    <w:rsid w:val="00F824B9"/>
    <w:rsid w:val="00F84060"/>
    <w:rsid w:val="00F90C9B"/>
    <w:rsid w:val="00F91106"/>
    <w:rsid w:val="00F913B5"/>
    <w:rsid w:val="00F93A79"/>
    <w:rsid w:val="00F94A98"/>
    <w:rsid w:val="00F9518A"/>
    <w:rsid w:val="00F966B5"/>
    <w:rsid w:val="00FA1358"/>
    <w:rsid w:val="00FA6EB8"/>
    <w:rsid w:val="00FB35EE"/>
    <w:rsid w:val="00FB3DCC"/>
    <w:rsid w:val="00FB431B"/>
    <w:rsid w:val="00FB4E78"/>
    <w:rsid w:val="00FB682B"/>
    <w:rsid w:val="00FC3DD9"/>
    <w:rsid w:val="00FC72D2"/>
    <w:rsid w:val="00FD431B"/>
    <w:rsid w:val="00FD5C30"/>
    <w:rsid w:val="00FE205D"/>
    <w:rsid w:val="00FE30A5"/>
    <w:rsid w:val="00FE51CC"/>
    <w:rsid w:val="00FE62B8"/>
    <w:rsid w:val="00FE6D42"/>
    <w:rsid w:val="00FE7CF7"/>
    <w:rsid w:val="00FF4647"/>
    <w:rsid w:val="00FF6E05"/>
    <w:rsid w:val="1CCA5F8E"/>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4" w:lineRule="auto"/>
    </w:pPr>
    <w:rPr>
      <w:rFonts w:asciiTheme="minorHAnsi" w:hAnsiTheme="minorHAnsi" w:eastAsiaTheme="minorHAnsi" w:cstheme="minorBidi"/>
      <w:sz w:val="22"/>
      <w:szCs w:val="22"/>
      <w:lang w:val="sk-SK"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semiHidden/>
    <w:uiPriority w:val="99"/>
    <w:pPr>
      <w:spacing w:after="0" w:line="240" w:lineRule="auto"/>
    </w:pPr>
    <w:rPr>
      <w:lang w:eastAsia="zh-CN"/>
    </w:rPr>
  </w:style>
  <w:style w:type="paragraph" w:styleId="5">
    <w:name w:val="Body Text 2"/>
    <w:basedOn w:val="1"/>
    <w:link w:val="17"/>
    <w:semiHidden/>
    <w:unhideWhenUsed/>
    <w:uiPriority w:val="99"/>
    <w:pPr>
      <w:spacing w:after="120" w:line="480" w:lineRule="auto"/>
    </w:pPr>
    <w:rPr>
      <w:rFonts w:ascii="Arial" w:hAnsi="Arial" w:eastAsia="Times New Roman" w:cs="Arial"/>
      <w:lang w:eastAsia="sk-SK"/>
    </w:rPr>
  </w:style>
  <w:style w:type="character" w:styleId="6">
    <w:name w:val="annotation reference"/>
    <w:basedOn w:val="2"/>
    <w:semiHidden/>
    <w:unhideWhenUsed/>
    <w:uiPriority w:val="99"/>
    <w:rPr>
      <w:sz w:val="16"/>
      <w:szCs w:val="16"/>
    </w:rPr>
  </w:style>
  <w:style w:type="paragraph" w:styleId="7">
    <w:name w:val="annotation text"/>
    <w:basedOn w:val="1"/>
    <w:link w:val="15"/>
    <w:unhideWhenUsed/>
    <w:uiPriority w:val="99"/>
    <w:pPr>
      <w:spacing w:line="240" w:lineRule="auto"/>
    </w:pPr>
    <w:rPr>
      <w:sz w:val="20"/>
      <w:szCs w:val="20"/>
    </w:rPr>
  </w:style>
  <w:style w:type="paragraph" w:styleId="8">
    <w:name w:val="annotation subject"/>
    <w:basedOn w:val="7"/>
    <w:next w:val="7"/>
    <w:link w:val="34"/>
    <w:semiHidden/>
    <w:unhideWhenUsed/>
    <w:uiPriority w:val="99"/>
    <w:rPr>
      <w:b/>
      <w:bCs/>
    </w:rPr>
  </w:style>
  <w:style w:type="character" w:styleId="9">
    <w:name w:val="FollowedHyperlink"/>
    <w:basedOn w:val="2"/>
    <w:semiHidden/>
    <w:unhideWhenUsed/>
    <w:uiPriority w:val="99"/>
    <w:rPr>
      <w:color w:val="954F72" w:themeColor="followedHyperlink"/>
      <w:u w:val="single"/>
      <w14:textFill>
        <w14:solidFill>
          <w14:schemeClr w14:val="folHlink"/>
        </w14:solidFill>
      </w14:textFill>
    </w:rPr>
  </w:style>
  <w:style w:type="paragraph" w:styleId="10">
    <w:name w:val="footer"/>
    <w:basedOn w:val="1"/>
    <w:link w:val="36"/>
    <w:unhideWhenUsed/>
    <w:uiPriority w:val="99"/>
    <w:pPr>
      <w:tabs>
        <w:tab w:val="center" w:pos="4536"/>
        <w:tab w:val="right" w:pos="9072"/>
      </w:tabs>
      <w:spacing w:after="0" w:line="240" w:lineRule="auto"/>
    </w:pPr>
  </w:style>
  <w:style w:type="paragraph" w:styleId="11">
    <w:name w:val="header"/>
    <w:basedOn w:val="1"/>
    <w:link w:val="35"/>
    <w:unhideWhenUsed/>
    <w:uiPriority w:val="99"/>
    <w:pPr>
      <w:tabs>
        <w:tab w:val="center" w:pos="4536"/>
        <w:tab w:val="right" w:pos="9072"/>
      </w:tabs>
      <w:spacing w:after="0" w:line="240" w:lineRule="auto"/>
    </w:pPr>
  </w:style>
  <w:style w:type="character" w:styleId="12">
    <w:name w:val="Hyperlink"/>
    <w:basedOn w:val="2"/>
    <w:unhideWhenUsed/>
    <w:qFormat/>
    <w:uiPriority w:val="99"/>
    <w:rPr>
      <w:color w:val="0000FF"/>
      <w:u w:val="single"/>
    </w:rPr>
  </w:style>
  <w:style w:type="paragraph" w:styleId="13">
    <w:name w:val="Title"/>
    <w:basedOn w:val="1"/>
    <w:link w:val="16"/>
    <w:qFormat/>
    <w:uiPriority w:val="0"/>
    <w:pPr>
      <w:spacing w:after="0" w:line="240" w:lineRule="auto"/>
      <w:jc w:val="center"/>
    </w:pPr>
    <w:rPr>
      <w:rFonts w:ascii="Arial Black" w:hAnsi="Arial Black" w:eastAsia="Times New Roman" w:cs="Arial"/>
      <w:bCs/>
      <w:i/>
      <w:iCs/>
      <w:color w:val="FF0000"/>
      <w:sz w:val="48"/>
    </w:rPr>
  </w:style>
  <w:style w:type="character" w:customStyle="1" w:styleId="14">
    <w:name w:val="Text bubliny Char"/>
    <w:link w:val="4"/>
    <w:semiHidden/>
    <w:uiPriority w:val="99"/>
    <w:rPr>
      <w:lang w:eastAsia="zh-CN"/>
    </w:rPr>
  </w:style>
  <w:style w:type="character" w:customStyle="1" w:styleId="15">
    <w:name w:val="Text komentára Char"/>
    <w:basedOn w:val="2"/>
    <w:link w:val="7"/>
    <w:uiPriority w:val="99"/>
    <w:rPr>
      <w:sz w:val="20"/>
      <w:szCs w:val="20"/>
    </w:rPr>
  </w:style>
  <w:style w:type="character" w:customStyle="1" w:styleId="16">
    <w:name w:val="Názov Char"/>
    <w:basedOn w:val="2"/>
    <w:link w:val="13"/>
    <w:qFormat/>
    <w:uiPriority w:val="0"/>
    <w:rPr>
      <w:rFonts w:ascii="Arial Black" w:hAnsi="Arial Black" w:eastAsia="Times New Roman" w:cs="Arial"/>
      <w:bCs/>
      <w:i/>
      <w:iCs/>
      <w:color w:val="FF0000"/>
      <w:sz w:val="48"/>
    </w:rPr>
  </w:style>
  <w:style w:type="character" w:customStyle="1" w:styleId="17">
    <w:name w:val="Základný text 2 Char"/>
    <w:basedOn w:val="2"/>
    <w:link w:val="5"/>
    <w:semiHidden/>
    <w:uiPriority w:val="99"/>
    <w:rPr>
      <w:rFonts w:ascii="Arial" w:hAnsi="Arial" w:eastAsia="Times New Roman" w:cs="Arial"/>
      <w:lang w:eastAsia="sk-SK"/>
    </w:rPr>
  </w:style>
  <w:style w:type="paragraph" w:styleId="18">
    <w:name w:val="No Spacing"/>
    <w:qFormat/>
    <w:uiPriority w:val="99"/>
    <w:pPr>
      <w:widowControl w:val="0"/>
      <w:spacing w:after="0" w:line="240" w:lineRule="auto"/>
    </w:pPr>
    <w:rPr>
      <w:rFonts w:ascii="Times New Roman" w:hAnsi="Times New Roman" w:eastAsia="Times New Roman" w:cs="Times New Roman"/>
      <w:color w:val="000000"/>
      <w:sz w:val="24"/>
      <w:szCs w:val="24"/>
      <w:lang w:val="sk-SK" w:eastAsia="sk-SK" w:bidi="ar-SA"/>
    </w:rPr>
  </w:style>
  <w:style w:type="character" w:customStyle="1" w:styleId="19">
    <w:name w:val="Odsek zoznamu Char"/>
    <w:link w:val="20"/>
    <w:qFormat/>
    <w:locked/>
    <w:uiPriority w:val="34"/>
    <w:rPr>
      <w:rFonts w:ascii="Arial" w:hAnsi="Arial" w:eastAsia="Times New Roman" w:cs="Arial"/>
      <w:lang w:eastAsia="sk-SK"/>
    </w:rPr>
  </w:style>
  <w:style w:type="paragraph" w:styleId="20">
    <w:name w:val="List Paragraph"/>
    <w:basedOn w:val="1"/>
    <w:link w:val="19"/>
    <w:qFormat/>
    <w:uiPriority w:val="34"/>
    <w:pPr>
      <w:spacing w:after="0" w:line="240" w:lineRule="auto"/>
      <w:ind w:left="708"/>
    </w:pPr>
    <w:rPr>
      <w:rFonts w:ascii="Arial" w:hAnsi="Arial" w:eastAsia="Times New Roman" w:cs="Arial"/>
      <w:lang w:eastAsia="sk-SK"/>
    </w:rPr>
  </w:style>
  <w:style w:type="paragraph" w:customStyle="1" w:styleId="21">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sk-SK" w:eastAsia="en-US" w:bidi="ar-SA"/>
    </w:rPr>
  </w:style>
  <w:style w:type="character" w:customStyle="1" w:styleId="22">
    <w:name w:val="Char Style 10"/>
    <w:basedOn w:val="2"/>
    <w:link w:val="23"/>
    <w:locked/>
    <w:uiPriority w:val="99"/>
    <w:rPr>
      <w:rFonts w:ascii="Arial" w:hAnsi="Arial" w:cs="Arial"/>
      <w:sz w:val="19"/>
      <w:szCs w:val="19"/>
      <w:shd w:val="clear" w:color="auto" w:fill="FFFFFF"/>
    </w:rPr>
  </w:style>
  <w:style w:type="paragraph" w:customStyle="1" w:styleId="23">
    <w:name w:val="Style 2"/>
    <w:basedOn w:val="1"/>
    <w:link w:val="22"/>
    <w:qFormat/>
    <w:uiPriority w:val="99"/>
    <w:pPr>
      <w:widowControl w:val="0"/>
      <w:shd w:val="clear" w:color="auto" w:fill="FFFFFF"/>
      <w:spacing w:before="180" w:after="0" w:line="230" w:lineRule="exact"/>
      <w:ind w:hanging="800"/>
      <w:jc w:val="center"/>
    </w:pPr>
    <w:rPr>
      <w:rFonts w:ascii="Arial" w:hAnsi="Arial" w:cs="Arial"/>
      <w:sz w:val="19"/>
      <w:szCs w:val="19"/>
    </w:rPr>
  </w:style>
  <w:style w:type="character" w:customStyle="1" w:styleId="24">
    <w:name w:val="Char Style 13"/>
    <w:basedOn w:val="2"/>
    <w:link w:val="25"/>
    <w:locked/>
    <w:uiPriority w:val="99"/>
    <w:rPr>
      <w:rFonts w:ascii="Arial" w:hAnsi="Arial" w:cs="Arial"/>
      <w:b/>
      <w:bCs/>
      <w:shd w:val="clear" w:color="auto" w:fill="FFFFFF"/>
    </w:rPr>
  </w:style>
  <w:style w:type="paragraph" w:customStyle="1" w:styleId="25">
    <w:name w:val="Style 12"/>
    <w:basedOn w:val="1"/>
    <w:link w:val="24"/>
    <w:qFormat/>
    <w:uiPriority w:val="99"/>
    <w:pPr>
      <w:widowControl w:val="0"/>
      <w:shd w:val="clear" w:color="auto" w:fill="FFFFFF"/>
      <w:spacing w:after="480" w:line="246" w:lineRule="exact"/>
      <w:jc w:val="center"/>
      <w:outlineLvl w:val="4"/>
    </w:pPr>
    <w:rPr>
      <w:rFonts w:ascii="Arial" w:hAnsi="Arial" w:cs="Arial"/>
      <w:b/>
      <w:bCs/>
    </w:rPr>
  </w:style>
  <w:style w:type="character" w:customStyle="1" w:styleId="26">
    <w:name w:val="Char Style 48"/>
    <w:basedOn w:val="2"/>
    <w:link w:val="27"/>
    <w:qFormat/>
    <w:locked/>
    <w:uiPriority w:val="99"/>
    <w:rPr>
      <w:rFonts w:ascii="Arial" w:hAnsi="Arial" w:cs="Arial"/>
      <w:b/>
      <w:bCs/>
      <w:shd w:val="clear" w:color="auto" w:fill="FFFFFF"/>
    </w:rPr>
  </w:style>
  <w:style w:type="paragraph" w:customStyle="1" w:styleId="27">
    <w:name w:val="Style 47"/>
    <w:basedOn w:val="1"/>
    <w:link w:val="26"/>
    <w:uiPriority w:val="99"/>
    <w:pPr>
      <w:widowControl w:val="0"/>
      <w:shd w:val="clear" w:color="auto" w:fill="FFFFFF"/>
      <w:spacing w:after="0" w:line="202" w:lineRule="exact"/>
      <w:jc w:val="center"/>
    </w:pPr>
    <w:rPr>
      <w:rFonts w:ascii="Arial" w:hAnsi="Arial" w:cs="Arial"/>
      <w:b/>
      <w:bCs/>
    </w:rPr>
  </w:style>
  <w:style w:type="character" w:customStyle="1" w:styleId="28">
    <w:name w:val="Char Style 30"/>
    <w:basedOn w:val="2"/>
    <w:link w:val="29"/>
    <w:qFormat/>
    <w:locked/>
    <w:uiPriority w:val="99"/>
    <w:rPr>
      <w:rFonts w:ascii="Times New Roman" w:hAnsi="Times New Roman" w:cs="Times New Roman"/>
      <w:sz w:val="21"/>
      <w:szCs w:val="21"/>
      <w:shd w:val="clear" w:color="auto" w:fill="FFFFFF"/>
    </w:rPr>
  </w:style>
  <w:style w:type="paragraph" w:customStyle="1" w:styleId="29">
    <w:name w:val="Style 5"/>
    <w:basedOn w:val="1"/>
    <w:link w:val="28"/>
    <w:uiPriority w:val="99"/>
    <w:pPr>
      <w:widowControl w:val="0"/>
      <w:shd w:val="clear" w:color="auto" w:fill="FFFFFF"/>
      <w:spacing w:after="0" w:line="259" w:lineRule="exact"/>
    </w:pPr>
    <w:rPr>
      <w:rFonts w:ascii="Times New Roman" w:hAnsi="Times New Roman" w:cs="Times New Roman"/>
      <w:sz w:val="21"/>
      <w:szCs w:val="21"/>
    </w:rPr>
  </w:style>
  <w:style w:type="character" w:customStyle="1" w:styleId="30">
    <w:name w:val="Char Style 36"/>
    <w:basedOn w:val="2"/>
    <w:uiPriority w:val="99"/>
    <w:rPr>
      <w:rFonts w:hint="default" w:ascii="Times New Roman" w:hAnsi="Times New Roman" w:cs="Times New Roman"/>
      <w:sz w:val="21"/>
      <w:szCs w:val="21"/>
      <w:u w:val="none"/>
    </w:rPr>
  </w:style>
  <w:style w:type="character" w:customStyle="1" w:styleId="31">
    <w:name w:val="h1a4"/>
    <w:uiPriority w:val="0"/>
    <w:rPr>
      <w:rFonts w:hint="default" w:ascii="Trebuchet MS" w:hAnsi="Trebuchet MS"/>
      <w:vanish/>
      <w:color w:val="505050"/>
      <w:sz w:val="24"/>
      <w:szCs w:val="24"/>
    </w:rPr>
  </w:style>
  <w:style w:type="character" w:customStyle="1" w:styleId="32">
    <w:name w:val="h1a"/>
    <w:basedOn w:val="2"/>
    <w:uiPriority w:val="0"/>
  </w:style>
  <w:style w:type="paragraph" w:customStyle="1" w:styleId="33">
    <w:name w:val="Advokát"/>
    <w:basedOn w:val="1"/>
    <w:uiPriority w:val="0"/>
    <w:pPr>
      <w:spacing w:after="0" w:line="240" w:lineRule="auto"/>
    </w:pPr>
    <w:rPr>
      <w:rFonts w:ascii="Times New Roman" w:hAnsi="Times New Roman" w:eastAsia="Times New Roman" w:cs="Times New Roman"/>
      <w:sz w:val="24"/>
      <w:szCs w:val="20"/>
    </w:rPr>
  </w:style>
  <w:style w:type="character" w:customStyle="1" w:styleId="34">
    <w:name w:val="Predmet komentára Char"/>
    <w:basedOn w:val="15"/>
    <w:link w:val="8"/>
    <w:semiHidden/>
    <w:uiPriority w:val="99"/>
    <w:rPr>
      <w:b/>
      <w:bCs/>
      <w:sz w:val="20"/>
      <w:szCs w:val="20"/>
    </w:rPr>
  </w:style>
  <w:style w:type="character" w:customStyle="1" w:styleId="35">
    <w:name w:val="Hlavička Char"/>
    <w:basedOn w:val="2"/>
    <w:link w:val="11"/>
    <w:uiPriority w:val="99"/>
  </w:style>
  <w:style w:type="character" w:customStyle="1" w:styleId="36">
    <w:name w:val="Päta Char"/>
    <w:basedOn w:val="2"/>
    <w:link w:val="10"/>
    <w:uiPriority w:val="99"/>
  </w:style>
  <w:style w:type="paragraph" w:customStyle="1" w:styleId="37">
    <w:name w:val="Revision"/>
    <w:hidden/>
    <w:semiHidden/>
    <w:uiPriority w:val="99"/>
    <w:pPr>
      <w:spacing w:after="0" w:line="240" w:lineRule="auto"/>
    </w:pPr>
    <w:rPr>
      <w:rFonts w:asciiTheme="minorHAnsi" w:hAnsiTheme="minorHAnsi" w:eastAsiaTheme="minorHAnsi" w:cstheme="minorBidi"/>
      <w:sz w:val="22"/>
      <w:szCs w:val="22"/>
      <w:lang w:val="sk-SK" w:eastAsia="en-US" w:bidi="ar-SA"/>
    </w:rPr>
  </w:style>
  <w:style w:type="character" w:customStyle="1" w:styleId="38">
    <w:name w:val="cf01"/>
    <w:basedOn w:val="2"/>
    <w:uiPriority w:val="0"/>
    <w:rPr>
      <w:rFonts w:hint="default" w:ascii="Segoe UI" w:hAnsi="Segoe UI" w:cs="Segoe UI"/>
      <w:color w:val="262626"/>
      <w:sz w:val="21"/>
      <w:szCs w:val="21"/>
    </w:rPr>
  </w:style>
  <w:style w:type="character" w:customStyle="1" w:styleId="39">
    <w:name w:val="Unresolved Mention"/>
    <w:basedOn w:val="2"/>
    <w:semiHidden/>
    <w:unhideWhenUsed/>
    <w:uiPriority w:val="99"/>
    <w:rPr>
      <w:color w:val="605E5C"/>
      <w:shd w:val="clear" w:color="auto" w:fill="E1DFDD"/>
    </w:rPr>
  </w:style>
  <w:style w:type="paragraph" w:customStyle="1" w:styleId="40">
    <w:name w:val="Adv podnadpis najmenší"/>
    <w:basedOn w:val="1"/>
    <w:uiPriority w:val="0"/>
    <w:pPr>
      <w:spacing w:after="0" w:line="240" w:lineRule="auto"/>
      <w:jc w:val="center"/>
    </w:pPr>
    <w:rPr>
      <w:rFonts w:ascii="Times New Roman" w:hAnsi="Times New Roman" w:eastAsia="Times New Roman" w:cs="Times New Roman"/>
      <w:spacing w:val="20"/>
      <w:sz w:val="24"/>
      <w:szCs w:val="20"/>
      <w:lang w:eastAsia="sk-SK"/>
    </w:rPr>
  </w:style>
  <w:style w:type="character" w:customStyle="1" w:styleId="41">
    <w:name w:val="markedcontent"/>
    <w:basedOn w:val="2"/>
    <w:uiPriority w:val="0"/>
  </w:style>
  <w:style w:type="character" w:customStyle="1" w:styleId="42">
    <w:name w:val="normaltextrun"/>
    <w:basedOn w:val="2"/>
    <w:uiPriority w:val="0"/>
  </w:style>
  <w:style w:type="character" w:customStyle="1" w:styleId="43">
    <w:name w:val="eop"/>
    <w:basedOn w:val="2"/>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b87e5ee6e1d81dca6c635d1ed0a8f643">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065eed93c913b7a46d4945e1cca9645"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2ABFF-0FB0-463B-98A9-2FA715A1891E}">
  <ds:schemaRefs/>
</ds:datastoreItem>
</file>

<file path=customXml/itemProps2.xml><?xml version="1.0" encoding="utf-8"?>
<ds:datastoreItem xmlns:ds="http://schemas.openxmlformats.org/officeDocument/2006/customXml" ds:itemID="{FB8735C2-BC7A-4DE1-94D6-063A13C3660D}">
  <ds:schemaRefs/>
</ds:datastoreItem>
</file>

<file path=customXml/itemProps3.xml><?xml version="1.0" encoding="utf-8"?>
<ds:datastoreItem xmlns:ds="http://schemas.openxmlformats.org/officeDocument/2006/customXml" ds:itemID="{8F8637AC-9AE6-4DC4-A4A2-4AB27B7C325B}">
  <ds:schemaRefs/>
</ds:datastoreItem>
</file>

<file path=customXml/itemProps4.xml><?xml version="1.0" encoding="utf-8"?>
<ds:datastoreItem xmlns:ds="http://schemas.openxmlformats.org/officeDocument/2006/customXml" ds:itemID="{4E8A9591-F074-446B-902F-511FF79C122F}">
  <ds:schemaRefs/>
</ds:datastoreItem>
</file>

<file path=customXml/itemProps5.xml><?xml version="1.0" encoding="utf-8"?>
<ds:datastoreItem xmlns:ds="http://schemas.openxmlformats.org/officeDocument/2006/customXml" ds:itemID="{273F35B5-A9C7-405A-BD98-82627C3ACD5F}">
  <ds:schemaRefs/>
</ds:datastoreItem>
</file>

<file path=docProps/app.xml><?xml version="1.0" encoding="utf-8"?>
<Properties xmlns="http://schemas.openxmlformats.org/officeDocument/2006/extended-properties" xmlns:vt="http://schemas.openxmlformats.org/officeDocument/2006/docPropsVTypes">
  <Template>Normal</Template>
  <Pages>17</Pages>
  <Words>9090</Words>
  <Characters>51819</Characters>
  <Lines>431</Lines>
  <Paragraphs>121</Paragraphs>
  <TotalTime>631</TotalTime>
  <ScaleCrop>false</ScaleCrop>
  <LinksUpToDate>false</LinksUpToDate>
  <CharactersWithSpaces>60788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2024-07-25T08:55:00Z</dcterms:created>
  <dc:creator>Luptáková Martina</dc:creator>
  <cp:lastModifiedBy>Marta Juríčková</cp:lastModifiedBy>
  <cp:lastPrinted>2024-05-02T13:51:00Z</cp:lastPrinted>
  <dcterms:modified xsi:type="dcterms:W3CDTF">2026-01-09T14:09:04Z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KSOProductBuildVer">
    <vt:lpwstr>1033-12.2.0.23155</vt:lpwstr>
  </property>
  <property fmtid="{D5CDD505-2E9C-101B-9397-08002B2CF9AE}" pid="395" name="ICV">
    <vt:lpwstr>0FFFDBC14B154245BE2F53286E279205_12</vt:lpwstr>
  </property>
</Properties>
</file>